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60E2C" w14:textId="77777777" w:rsidR="0098631E" w:rsidRDefault="004320E9">
      <w:pPr>
        <w:pStyle w:val="Default"/>
      </w:pPr>
      <w:r>
        <w:rPr>
          <w:rFonts w:ascii="Verdana" w:hAnsi="Verdana" w:cs="Verdana"/>
          <w:noProof/>
        </w:rPr>
        <w:drawing>
          <wp:inline distT="0" distB="0" distL="0" distR="0" wp14:anchorId="48A60E7F" wp14:editId="48A60E80">
            <wp:extent cx="1924050" cy="842645"/>
            <wp:effectExtent l="0" t="0" r="0" b="0"/>
            <wp:docPr id="1" name="Image 1" descr="Description : MC RECTANGLE NOIR 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MC RECTANGLE NOIR LIGH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60E2D" w14:textId="77777777" w:rsidR="0098631E" w:rsidRPr="009B306C" w:rsidRDefault="0098631E" w:rsidP="00A25BB3">
      <w:pPr>
        <w:jc w:val="center"/>
        <w:rPr>
          <w:rFonts w:ascii="Verdana" w:hAnsi="Verdana"/>
          <w:sz w:val="16"/>
          <w:szCs w:val="16"/>
        </w:rPr>
      </w:pPr>
    </w:p>
    <w:p w14:paraId="224C864E" w14:textId="77777777" w:rsidR="00712229" w:rsidRDefault="0098631E" w:rsidP="00A25BB3">
      <w:pPr>
        <w:jc w:val="center"/>
        <w:rPr>
          <w:rFonts w:ascii="Verdana" w:hAnsi="Verdana"/>
          <w:b/>
        </w:rPr>
      </w:pPr>
      <w:r w:rsidRPr="00562E89">
        <w:rPr>
          <w:rFonts w:ascii="Verdana" w:hAnsi="Verdana"/>
          <w:b/>
        </w:rPr>
        <w:t>DESCRIPTIF</w:t>
      </w:r>
      <w:r w:rsidR="00712229">
        <w:rPr>
          <w:rFonts w:ascii="Verdana" w:hAnsi="Verdana"/>
          <w:b/>
        </w:rPr>
        <w:t xml:space="preserve"> CAREA emboîtement</w:t>
      </w:r>
    </w:p>
    <w:p w14:paraId="48A60E2E" w14:textId="0E9B8327" w:rsidR="0098631E" w:rsidRDefault="0098631E" w:rsidP="00A25BB3">
      <w:pPr>
        <w:jc w:val="center"/>
        <w:rPr>
          <w:rFonts w:ascii="Verdana" w:hAnsi="Verdana"/>
          <w:b/>
        </w:rPr>
      </w:pPr>
      <w:r w:rsidRPr="00562E89">
        <w:rPr>
          <w:rFonts w:ascii="Verdana" w:hAnsi="Verdana"/>
          <w:b/>
        </w:rPr>
        <w:t xml:space="preserve"> </w:t>
      </w:r>
      <w:r w:rsidRPr="00562E89">
        <w:rPr>
          <w:rFonts w:ascii="Verdana" w:hAnsi="Verdana"/>
          <w:b/>
          <w:color w:val="7F7F7F"/>
        </w:rPr>
        <w:t>AQUILA</w:t>
      </w:r>
      <w:r w:rsidRPr="00457F48">
        <w:rPr>
          <w:rFonts w:ascii="Verdana" w:hAnsi="Verdana"/>
          <w:b/>
          <w:color w:val="9A9A9A"/>
        </w:rPr>
        <w:t xml:space="preserve"> </w:t>
      </w:r>
      <w:r w:rsidRPr="00457F48">
        <w:rPr>
          <w:rFonts w:ascii="Verdana" w:hAnsi="Verdana"/>
          <w:b/>
        </w:rPr>
        <w:t>pose B</w:t>
      </w:r>
      <w:r w:rsidR="00712229">
        <w:rPr>
          <w:rFonts w:ascii="Verdana" w:hAnsi="Verdana"/>
          <w:b/>
        </w:rPr>
        <w:t>AO (Bardage Avec Ossature)</w:t>
      </w:r>
    </w:p>
    <w:p w14:paraId="7F031C1F" w14:textId="77777777" w:rsidR="003119DB" w:rsidRDefault="003119DB" w:rsidP="00A25BB3">
      <w:pPr>
        <w:jc w:val="center"/>
        <w:rPr>
          <w:rFonts w:ascii="Verdana" w:hAnsi="Verdana"/>
          <w:b/>
        </w:rPr>
      </w:pPr>
    </w:p>
    <w:p w14:paraId="63720ADB" w14:textId="6A78B261" w:rsidR="003119DB" w:rsidRPr="00457F48" w:rsidRDefault="003119DB" w:rsidP="00A25BB3">
      <w:pPr>
        <w:jc w:val="center"/>
        <w:rPr>
          <w:rFonts w:ascii="Verdana" w:hAnsi="Verdana" w:cs="Century Gothic"/>
          <w:b/>
        </w:rPr>
      </w:pPr>
      <w:r w:rsidRPr="003119DB">
        <w:rPr>
          <w:noProof/>
        </w:rPr>
        <w:drawing>
          <wp:inline distT="0" distB="0" distL="0" distR="0" wp14:anchorId="3360220F" wp14:editId="737D77FF">
            <wp:extent cx="838200" cy="1120186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9037" cy="1134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60E2F" w14:textId="77777777" w:rsidR="0098631E" w:rsidRPr="009B306C" w:rsidRDefault="0098631E" w:rsidP="00A25BB3">
      <w:pPr>
        <w:rPr>
          <w:rFonts w:ascii="Verdana" w:hAnsi="Verdana"/>
          <w:sz w:val="16"/>
          <w:szCs w:val="16"/>
        </w:rPr>
      </w:pPr>
      <w:r w:rsidRPr="005408C2">
        <w:rPr>
          <w:sz w:val="18"/>
          <w:szCs w:val="18"/>
        </w:rPr>
        <w:t xml:space="preserve"> </w:t>
      </w:r>
    </w:p>
    <w:p w14:paraId="48A60E30" w14:textId="77777777" w:rsidR="0098631E" w:rsidRDefault="0098631E" w:rsidP="00457F48">
      <w:pPr>
        <w:numPr>
          <w:ilvl w:val="0"/>
          <w:numId w:val="5"/>
        </w:numPr>
        <w:rPr>
          <w:rFonts w:ascii="Verdana" w:hAnsi="Verdana"/>
          <w:b/>
          <w:bCs/>
          <w:sz w:val="18"/>
          <w:szCs w:val="18"/>
          <w:u w:val="single"/>
        </w:rPr>
      </w:pPr>
      <w:r w:rsidRPr="00A25BB3">
        <w:rPr>
          <w:rFonts w:ascii="Verdana" w:hAnsi="Verdana"/>
          <w:b/>
          <w:bCs/>
          <w:sz w:val="18"/>
          <w:szCs w:val="18"/>
          <w:u w:val="single"/>
        </w:rPr>
        <w:t>Description</w:t>
      </w:r>
    </w:p>
    <w:p w14:paraId="48A60E31" w14:textId="77777777" w:rsidR="0098631E" w:rsidRPr="005E3930" w:rsidRDefault="0098631E" w:rsidP="005E3930">
      <w:pPr>
        <w:pStyle w:val="Default"/>
      </w:pPr>
    </w:p>
    <w:p w14:paraId="48A60E32" w14:textId="77777777" w:rsidR="0098631E" w:rsidRPr="001C0113" w:rsidRDefault="0098631E" w:rsidP="001245ED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>Système de bardage</w:t>
      </w:r>
      <w:r w:rsidRPr="001C0113">
        <w:rPr>
          <w:sz w:val="16"/>
          <w:szCs w:val="16"/>
        </w:rPr>
        <w:t xml:space="preserve"> à base d'éléments de parement moulés en polyester HDC (High D</w:t>
      </w:r>
      <w:r w:rsidR="00617FE0">
        <w:rPr>
          <w:sz w:val="16"/>
          <w:szCs w:val="16"/>
        </w:rPr>
        <w:t>ensity</w:t>
      </w:r>
      <w:r w:rsidRPr="001C0113">
        <w:rPr>
          <w:sz w:val="16"/>
          <w:szCs w:val="16"/>
        </w:rPr>
        <w:t xml:space="preserve"> Compound) dont le décor est obtenu par projection d’un revêtement organique (chargé en oxydes minéraux).</w:t>
      </w:r>
    </w:p>
    <w:p w14:paraId="48A60E33" w14:textId="77777777" w:rsidR="0098631E" w:rsidRPr="001C0113" w:rsidRDefault="0098631E" w:rsidP="001245ED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>En œuvre, chaque élément associé aux éléments adjacents, par emboîtement en traverses haute et basse, est fixé</w:t>
      </w:r>
      <w:r>
        <w:rPr>
          <w:sz w:val="16"/>
          <w:szCs w:val="16"/>
        </w:rPr>
        <w:t xml:space="preserve"> à une ossature secondaire horizontale</w:t>
      </w:r>
      <w:r w:rsidRPr="00895F11">
        <w:rPr>
          <w:sz w:val="16"/>
          <w:szCs w:val="16"/>
        </w:rPr>
        <w:t xml:space="preserve"> </w:t>
      </w:r>
      <w:r w:rsidRPr="001C0113">
        <w:rPr>
          <w:sz w:val="16"/>
          <w:szCs w:val="16"/>
        </w:rPr>
        <w:t>par des fixations mécaniques traversantes disposées en rive haute, et dont les têtes sont cachées par le débord des plaques supérieures.</w:t>
      </w:r>
      <w:r>
        <w:rPr>
          <w:sz w:val="16"/>
          <w:szCs w:val="16"/>
        </w:rPr>
        <w:t xml:space="preserve"> L’ensemble est solidarisé</w:t>
      </w:r>
      <w:r w:rsidRPr="001C0113">
        <w:rPr>
          <w:sz w:val="16"/>
          <w:szCs w:val="16"/>
        </w:rPr>
        <w:t xml:space="preserve"> à la </w:t>
      </w:r>
      <w:r>
        <w:rPr>
          <w:sz w:val="16"/>
          <w:szCs w:val="16"/>
        </w:rPr>
        <w:t>paroi support</w:t>
      </w:r>
      <w:r w:rsidRPr="001C0113">
        <w:rPr>
          <w:sz w:val="16"/>
          <w:szCs w:val="16"/>
        </w:rPr>
        <w:t xml:space="preserve"> par </w:t>
      </w:r>
      <w:r>
        <w:rPr>
          <w:sz w:val="16"/>
          <w:szCs w:val="16"/>
        </w:rPr>
        <w:t>une ossature primaire verticale métallique ou bois</w:t>
      </w:r>
      <w:r w:rsidRPr="001C0113">
        <w:rPr>
          <w:sz w:val="16"/>
          <w:szCs w:val="16"/>
        </w:rPr>
        <w:t xml:space="preserve">. </w:t>
      </w:r>
    </w:p>
    <w:p w14:paraId="48A60E34" w14:textId="77777777" w:rsidR="0098631E" w:rsidRPr="001C0113" w:rsidRDefault="0098631E" w:rsidP="001245ED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>La pose se fera à joint vert</w:t>
      </w:r>
      <w:r>
        <w:rPr>
          <w:sz w:val="16"/>
          <w:szCs w:val="16"/>
        </w:rPr>
        <w:t xml:space="preserve">ical soit décalé, soit filant. </w:t>
      </w:r>
    </w:p>
    <w:p w14:paraId="48A60E35" w14:textId="77777777" w:rsidR="0098631E" w:rsidRPr="001C0113" w:rsidRDefault="0098631E" w:rsidP="001245ED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>La mise en œuvre de l’</w:t>
      </w:r>
      <w:r>
        <w:rPr>
          <w:sz w:val="16"/>
          <w:szCs w:val="16"/>
        </w:rPr>
        <w:t>AQUILA</w:t>
      </w:r>
      <w:r w:rsidRPr="001C0113">
        <w:rPr>
          <w:sz w:val="16"/>
          <w:szCs w:val="16"/>
        </w:rPr>
        <w:t xml:space="preserve"> sera réalisée conformément </w:t>
      </w:r>
      <w:r>
        <w:rPr>
          <w:sz w:val="16"/>
          <w:szCs w:val="16"/>
        </w:rPr>
        <w:t xml:space="preserve">à l’avis technique en vigueur. </w:t>
      </w:r>
    </w:p>
    <w:p w14:paraId="48A60E36" w14:textId="77777777" w:rsidR="0098631E" w:rsidRPr="00457F48" w:rsidRDefault="0098631E" w:rsidP="001245ED">
      <w:pPr>
        <w:jc w:val="both"/>
        <w:rPr>
          <w:rFonts w:ascii="Verdana" w:hAnsi="Verdana"/>
          <w:sz w:val="16"/>
          <w:szCs w:val="16"/>
        </w:rPr>
      </w:pPr>
      <w:r w:rsidRPr="004C3C6C">
        <w:rPr>
          <w:rFonts w:ascii="Verdana" w:hAnsi="Verdana"/>
          <w:sz w:val="16"/>
          <w:szCs w:val="16"/>
        </w:rPr>
        <w:t>Le produit AQUILA bénéficie d’une assurance responsabilité professionnelle fabricant (dite décennale) délivrée par une compagnie d’assurance de premier rang.</w:t>
      </w:r>
      <w:r w:rsidRPr="00457F48">
        <w:rPr>
          <w:rFonts w:ascii="Verdana" w:hAnsi="Verdana"/>
          <w:sz w:val="16"/>
          <w:szCs w:val="16"/>
        </w:rPr>
        <w:t xml:space="preserve"> </w:t>
      </w:r>
    </w:p>
    <w:p w14:paraId="48A60E37" w14:textId="77777777" w:rsidR="0098631E" w:rsidRDefault="0098631E" w:rsidP="00945825">
      <w:pPr>
        <w:jc w:val="both"/>
        <w:rPr>
          <w:rFonts w:ascii="Verdana" w:hAnsi="Verdana"/>
          <w:sz w:val="16"/>
          <w:szCs w:val="16"/>
        </w:rPr>
      </w:pPr>
      <w:r w:rsidRPr="00457F48">
        <w:rPr>
          <w:rFonts w:ascii="Verdana" w:hAnsi="Verdana"/>
          <w:sz w:val="16"/>
          <w:szCs w:val="16"/>
        </w:rPr>
        <w:t xml:space="preserve"> </w:t>
      </w:r>
    </w:p>
    <w:p w14:paraId="48A60E38" w14:textId="77777777" w:rsidR="0098631E" w:rsidRPr="00831E9A" w:rsidRDefault="0098631E" w:rsidP="00831E9A">
      <w:pPr>
        <w:pStyle w:val="Default"/>
      </w:pPr>
    </w:p>
    <w:p w14:paraId="48A60E39" w14:textId="7FB52872" w:rsidR="0098631E" w:rsidRPr="00712229" w:rsidRDefault="0098631E" w:rsidP="00945825">
      <w:pPr>
        <w:numPr>
          <w:ilvl w:val="0"/>
          <w:numId w:val="5"/>
        </w:numPr>
        <w:jc w:val="both"/>
        <w:rPr>
          <w:rFonts w:ascii="Verdana" w:hAnsi="Verdana"/>
          <w:b/>
          <w:bCs/>
          <w:sz w:val="18"/>
          <w:szCs w:val="18"/>
        </w:rPr>
      </w:pPr>
      <w:r w:rsidRPr="009553B6">
        <w:rPr>
          <w:rFonts w:ascii="Verdana" w:hAnsi="Verdana"/>
          <w:b/>
          <w:bCs/>
          <w:sz w:val="18"/>
          <w:szCs w:val="18"/>
          <w:u w:val="single"/>
        </w:rPr>
        <w:t>Caractéristiques Générales</w:t>
      </w:r>
    </w:p>
    <w:p w14:paraId="63DD88C9" w14:textId="44D56C19" w:rsidR="00712229" w:rsidRDefault="00712229" w:rsidP="00712229">
      <w:pPr>
        <w:ind w:left="360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26FFCB28" w14:textId="77777777" w:rsidR="008E545A" w:rsidRDefault="008E545A" w:rsidP="008E545A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>Aspect de surface :</w:t>
      </w:r>
      <w:r>
        <w:rPr>
          <w:sz w:val="16"/>
          <w:szCs w:val="16"/>
        </w:rPr>
        <w:t xml:space="preserve"> Lisse Mat, Dune, </w:t>
      </w:r>
      <w:proofErr w:type="gramStart"/>
      <w:r>
        <w:rPr>
          <w:sz w:val="16"/>
          <w:szCs w:val="16"/>
        </w:rPr>
        <w:t>Pixel ,</w:t>
      </w:r>
      <w:proofErr w:type="gramEnd"/>
      <w:r>
        <w:rPr>
          <w:sz w:val="16"/>
          <w:szCs w:val="16"/>
        </w:rPr>
        <w:t xml:space="preserve"> Carvi</w:t>
      </w:r>
    </w:p>
    <w:p w14:paraId="48A60E3B" w14:textId="43CB67CC" w:rsidR="004C3C6C" w:rsidRPr="001C0113" w:rsidRDefault="004C3C6C" w:rsidP="004C3C6C">
      <w:pPr>
        <w:pStyle w:val="Sansinterligne"/>
        <w:jc w:val="both"/>
        <w:rPr>
          <w:sz w:val="16"/>
          <w:szCs w:val="16"/>
        </w:rPr>
      </w:pPr>
      <w:bookmarkStart w:id="0" w:name="_Hlk36736150"/>
      <w:r w:rsidRPr="001C0113">
        <w:rPr>
          <w:sz w:val="16"/>
          <w:szCs w:val="16"/>
        </w:rPr>
        <w:t>Dimension</w:t>
      </w:r>
      <w:r>
        <w:rPr>
          <w:sz w:val="16"/>
          <w:szCs w:val="16"/>
        </w:rPr>
        <w:t xml:space="preserve">s en </w:t>
      </w:r>
      <w:r w:rsidR="00636F7F">
        <w:rPr>
          <w:sz w:val="16"/>
          <w:szCs w:val="16"/>
        </w:rPr>
        <w:t>m</w:t>
      </w:r>
      <w:r>
        <w:rPr>
          <w:sz w:val="16"/>
          <w:szCs w:val="16"/>
        </w:rPr>
        <w:t>m (L x h) : 135</w:t>
      </w:r>
      <w:r w:rsidR="00636F7F">
        <w:rPr>
          <w:sz w:val="16"/>
          <w:szCs w:val="16"/>
        </w:rPr>
        <w:t>0</w:t>
      </w:r>
      <w:r>
        <w:rPr>
          <w:sz w:val="16"/>
          <w:szCs w:val="16"/>
        </w:rPr>
        <w:t>x60</w:t>
      </w:r>
      <w:r w:rsidR="00636F7F">
        <w:rPr>
          <w:sz w:val="16"/>
          <w:szCs w:val="16"/>
        </w:rPr>
        <w:t>0</w:t>
      </w:r>
      <w:r w:rsidRPr="001C0113">
        <w:rPr>
          <w:sz w:val="16"/>
          <w:szCs w:val="16"/>
        </w:rPr>
        <w:t xml:space="preserve"> </w:t>
      </w:r>
      <w:r>
        <w:rPr>
          <w:sz w:val="16"/>
          <w:szCs w:val="16"/>
        </w:rPr>
        <w:t>/ 120</w:t>
      </w:r>
      <w:r w:rsidR="00636F7F">
        <w:rPr>
          <w:sz w:val="16"/>
          <w:szCs w:val="16"/>
        </w:rPr>
        <w:t>0</w:t>
      </w:r>
      <w:r>
        <w:rPr>
          <w:sz w:val="16"/>
          <w:szCs w:val="16"/>
        </w:rPr>
        <w:t>x60</w:t>
      </w:r>
      <w:r w:rsidR="00636F7F">
        <w:rPr>
          <w:sz w:val="16"/>
          <w:szCs w:val="16"/>
        </w:rPr>
        <w:t>0</w:t>
      </w:r>
      <w:r>
        <w:rPr>
          <w:sz w:val="16"/>
          <w:szCs w:val="16"/>
        </w:rPr>
        <w:t xml:space="preserve"> / 60</w:t>
      </w:r>
      <w:r w:rsidR="00636F7F">
        <w:rPr>
          <w:sz w:val="16"/>
          <w:szCs w:val="16"/>
        </w:rPr>
        <w:t>0</w:t>
      </w:r>
      <w:r>
        <w:rPr>
          <w:sz w:val="16"/>
          <w:szCs w:val="16"/>
        </w:rPr>
        <w:t>x120</w:t>
      </w:r>
      <w:r w:rsidR="00636F7F">
        <w:rPr>
          <w:sz w:val="16"/>
          <w:szCs w:val="16"/>
        </w:rPr>
        <w:t>0</w:t>
      </w:r>
      <w:r w:rsidR="00712229">
        <w:rPr>
          <w:sz w:val="16"/>
          <w:szCs w:val="16"/>
        </w:rPr>
        <w:t xml:space="preserve"> et seulement en Aspect Lisse Mat </w:t>
      </w:r>
      <w:r>
        <w:rPr>
          <w:sz w:val="16"/>
          <w:szCs w:val="16"/>
        </w:rPr>
        <w:t>60</w:t>
      </w:r>
      <w:r w:rsidR="00636F7F">
        <w:rPr>
          <w:sz w:val="16"/>
          <w:szCs w:val="16"/>
        </w:rPr>
        <w:t>0</w:t>
      </w:r>
      <w:r>
        <w:rPr>
          <w:sz w:val="16"/>
          <w:szCs w:val="16"/>
        </w:rPr>
        <w:t>x60</w:t>
      </w:r>
      <w:r w:rsidR="00636F7F">
        <w:rPr>
          <w:sz w:val="16"/>
          <w:szCs w:val="16"/>
        </w:rPr>
        <w:t>0</w:t>
      </w:r>
      <w:r>
        <w:rPr>
          <w:sz w:val="16"/>
          <w:szCs w:val="16"/>
        </w:rPr>
        <w:t xml:space="preserve"> / 60</w:t>
      </w:r>
      <w:r w:rsidR="00636F7F">
        <w:rPr>
          <w:sz w:val="16"/>
          <w:szCs w:val="16"/>
        </w:rPr>
        <w:t>0</w:t>
      </w:r>
      <w:r>
        <w:rPr>
          <w:sz w:val="16"/>
          <w:szCs w:val="16"/>
        </w:rPr>
        <w:t>x30</w:t>
      </w:r>
      <w:r w:rsidR="00636F7F">
        <w:rPr>
          <w:sz w:val="16"/>
          <w:szCs w:val="16"/>
        </w:rPr>
        <w:t>0</w:t>
      </w:r>
      <w:r w:rsidR="00712229">
        <w:rPr>
          <w:sz w:val="16"/>
          <w:szCs w:val="16"/>
        </w:rPr>
        <w:t xml:space="preserve"> </w:t>
      </w:r>
    </w:p>
    <w:p w14:paraId="48A60E3C" w14:textId="77777777" w:rsidR="004C3C6C" w:rsidRPr="001C0113" w:rsidRDefault="00617FE0" w:rsidP="004C3C6C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>É</w:t>
      </w:r>
      <w:r w:rsidR="004C3C6C" w:rsidRPr="001C0113">
        <w:rPr>
          <w:sz w:val="16"/>
          <w:szCs w:val="16"/>
        </w:rPr>
        <w:t xml:space="preserve">paisseurs moyennes : </w:t>
      </w:r>
      <w:r w:rsidR="004C3C6C">
        <w:rPr>
          <w:sz w:val="16"/>
          <w:szCs w:val="16"/>
        </w:rPr>
        <w:t xml:space="preserve">3 à </w:t>
      </w:r>
      <w:smartTag w:uri="urn:schemas-microsoft-com:office:smarttags" w:element="metricconverter">
        <w:smartTagPr>
          <w:attr w:name="ProductID" w:val="4 mm"/>
        </w:smartTagPr>
        <w:r w:rsidR="004C3C6C">
          <w:rPr>
            <w:sz w:val="16"/>
            <w:szCs w:val="16"/>
          </w:rPr>
          <w:t>4</w:t>
        </w:r>
        <w:r w:rsidR="004C3C6C" w:rsidRPr="001C0113">
          <w:rPr>
            <w:sz w:val="16"/>
            <w:szCs w:val="16"/>
          </w:rPr>
          <w:t xml:space="preserve"> mm</w:t>
        </w:r>
      </w:smartTag>
      <w:r w:rsidR="004C3C6C" w:rsidRPr="001C0113">
        <w:rPr>
          <w:sz w:val="16"/>
          <w:szCs w:val="16"/>
        </w:rPr>
        <w:t xml:space="preserve"> pour les éléments standard</w:t>
      </w:r>
      <w:r w:rsidR="004C3C6C">
        <w:rPr>
          <w:sz w:val="16"/>
          <w:szCs w:val="16"/>
        </w:rPr>
        <w:t>s</w:t>
      </w:r>
      <w:r w:rsidR="004C3C6C" w:rsidRPr="001C0113">
        <w:rPr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5 mm"/>
        </w:smartTagPr>
        <w:r w:rsidR="004C3C6C" w:rsidRPr="001C0113">
          <w:rPr>
            <w:sz w:val="16"/>
            <w:szCs w:val="16"/>
          </w:rPr>
          <w:t>5 mm</w:t>
        </w:r>
      </w:smartTag>
      <w:r w:rsidR="004C3C6C" w:rsidRPr="001C0113">
        <w:rPr>
          <w:sz w:val="16"/>
          <w:szCs w:val="16"/>
        </w:rPr>
        <w:t xml:space="preserve"> pour les éléments massifs </w:t>
      </w:r>
    </w:p>
    <w:bookmarkEnd w:id="0"/>
    <w:p w14:paraId="48A60E3D" w14:textId="2AF70363" w:rsidR="004C3C6C" w:rsidRDefault="004C3C6C" w:rsidP="004C3C6C">
      <w:pPr>
        <w:pStyle w:val="Sansinterligne"/>
        <w:jc w:val="both"/>
        <w:rPr>
          <w:sz w:val="16"/>
          <w:szCs w:val="16"/>
        </w:rPr>
      </w:pPr>
    </w:p>
    <w:p w14:paraId="7DC4753A" w14:textId="77777777" w:rsidR="000301CF" w:rsidRDefault="000301CF" w:rsidP="000301CF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>66 couleurs monochromes et porphyrés</w:t>
      </w:r>
    </w:p>
    <w:p w14:paraId="04D1542F" w14:textId="77777777" w:rsidR="004B0FEF" w:rsidRPr="001C0113" w:rsidRDefault="004B0FEF" w:rsidP="004C3C6C">
      <w:pPr>
        <w:pStyle w:val="Sansinterligne"/>
        <w:jc w:val="both"/>
        <w:rPr>
          <w:sz w:val="16"/>
          <w:szCs w:val="16"/>
        </w:rPr>
      </w:pPr>
    </w:p>
    <w:p w14:paraId="48A60E42" w14:textId="1A30FFF2" w:rsidR="004C3C6C" w:rsidRDefault="004C3C6C" w:rsidP="004C3C6C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 xml:space="preserve">Nombre de fixations : </w:t>
      </w:r>
      <w:r w:rsidR="008E545A">
        <w:rPr>
          <w:sz w:val="16"/>
          <w:szCs w:val="16"/>
        </w:rPr>
        <w:t>1</w:t>
      </w:r>
      <w:r w:rsidRPr="001C0113">
        <w:rPr>
          <w:sz w:val="16"/>
          <w:szCs w:val="16"/>
        </w:rPr>
        <w:t xml:space="preserve"> à </w:t>
      </w:r>
      <w:r>
        <w:rPr>
          <w:sz w:val="16"/>
          <w:szCs w:val="16"/>
        </w:rPr>
        <w:t>6</w:t>
      </w:r>
      <w:r w:rsidRPr="001C0113">
        <w:rPr>
          <w:sz w:val="16"/>
          <w:szCs w:val="16"/>
        </w:rPr>
        <w:t xml:space="preserve"> par élément (suivant </w:t>
      </w:r>
      <w:r>
        <w:rPr>
          <w:sz w:val="16"/>
          <w:szCs w:val="16"/>
        </w:rPr>
        <w:t xml:space="preserve">format et </w:t>
      </w:r>
      <w:r w:rsidRPr="001C0113">
        <w:rPr>
          <w:sz w:val="16"/>
          <w:szCs w:val="16"/>
        </w:rPr>
        <w:t xml:space="preserve">recoupe). </w:t>
      </w:r>
      <w:bookmarkStart w:id="1" w:name="_Hlk36736158"/>
      <w:r>
        <w:rPr>
          <w:sz w:val="16"/>
          <w:szCs w:val="16"/>
        </w:rPr>
        <w:t>Le format 60x120 nécessite la mise en place d’une ou plusieu</w:t>
      </w:r>
      <w:r w:rsidR="00617FE0">
        <w:rPr>
          <w:sz w:val="16"/>
          <w:szCs w:val="16"/>
        </w:rPr>
        <w:t>rs pattes latérales de fixation (selon exposition au vent).</w:t>
      </w:r>
    </w:p>
    <w:bookmarkEnd w:id="1"/>
    <w:p w14:paraId="48A60E43" w14:textId="77777777" w:rsidR="0098631E" w:rsidRPr="001C0113" w:rsidRDefault="0098631E" w:rsidP="009F424A">
      <w:pPr>
        <w:pStyle w:val="Sansinterligne"/>
        <w:jc w:val="both"/>
        <w:rPr>
          <w:sz w:val="16"/>
          <w:szCs w:val="16"/>
        </w:rPr>
      </w:pPr>
    </w:p>
    <w:p w14:paraId="48A60E45" w14:textId="27F36179" w:rsidR="0098631E" w:rsidRDefault="005C1089" w:rsidP="00945825">
      <w:pPr>
        <w:jc w:val="both"/>
        <w:rPr>
          <w:rFonts w:ascii="Verdana" w:hAnsi="Verdana"/>
          <w:sz w:val="18"/>
          <w:szCs w:val="18"/>
        </w:rPr>
      </w:pPr>
      <w:r w:rsidRPr="005C1089">
        <w:rPr>
          <w:rFonts w:ascii="Verdana" w:hAnsi="Verdana"/>
          <w:sz w:val="16"/>
          <w:szCs w:val="16"/>
        </w:rPr>
        <w:t>Classement de réaction au feu : B s1 d0</w:t>
      </w:r>
    </w:p>
    <w:p w14:paraId="48A60E46" w14:textId="77777777" w:rsidR="0098631E" w:rsidRPr="00831E9A" w:rsidRDefault="0098631E" w:rsidP="00831E9A">
      <w:pPr>
        <w:pStyle w:val="Default"/>
      </w:pPr>
    </w:p>
    <w:p w14:paraId="48A60E47" w14:textId="77777777" w:rsidR="0098631E" w:rsidRDefault="0098631E" w:rsidP="00945825">
      <w:pPr>
        <w:numPr>
          <w:ilvl w:val="0"/>
          <w:numId w:val="5"/>
        </w:numPr>
        <w:jc w:val="both"/>
        <w:rPr>
          <w:rFonts w:ascii="Verdana" w:hAnsi="Verdana"/>
          <w:b/>
          <w:bCs/>
          <w:sz w:val="18"/>
          <w:szCs w:val="18"/>
        </w:rPr>
      </w:pPr>
      <w:r w:rsidRPr="00A25BB3">
        <w:rPr>
          <w:rFonts w:ascii="Verdana" w:hAnsi="Verdana"/>
          <w:b/>
          <w:bCs/>
          <w:sz w:val="18"/>
          <w:szCs w:val="18"/>
          <w:u w:val="single"/>
        </w:rPr>
        <w:t>Identification des composants</w:t>
      </w:r>
      <w:r w:rsidRPr="00457F48">
        <w:rPr>
          <w:rFonts w:ascii="Verdana" w:hAnsi="Verdana"/>
          <w:b/>
          <w:bCs/>
          <w:sz w:val="18"/>
          <w:szCs w:val="18"/>
        </w:rPr>
        <w:t xml:space="preserve"> </w:t>
      </w:r>
    </w:p>
    <w:p w14:paraId="48A60E48" w14:textId="77777777" w:rsidR="0098631E" w:rsidRPr="009A12EA" w:rsidRDefault="0098631E" w:rsidP="00603EFF">
      <w:pPr>
        <w:pStyle w:val="Default"/>
        <w:jc w:val="both"/>
        <w:rPr>
          <w:rFonts w:ascii="Verdana" w:hAnsi="Verdana"/>
          <w:sz w:val="16"/>
          <w:szCs w:val="16"/>
        </w:rPr>
      </w:pPr>
    </w:p>
    <w:p w14:paraId="48A60E49" w14:textId="77777777" w:rsidR="0098631E" w:rsidRPr="00C46317" w:rsidRDefault="0098631E" w:rsidP="00603EFF">
      <w:pPr>
        <w:pStyle w:val="Sansinterligne"/>
        <w:ind w:firstLine="36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3.1</w:t>
      </w:r>
      <w:r w:rsidRPr="00C46317">
        <w:rPr>
          <w:b/>
          <w:sz w:val="16"/>
          <w:szCs w:val="16"/>
        </w:rPr>
        <w:t xml:space="preserve"> Plaques de parement STANDARD </w:t>
      </w:r>
    </w:p>
    <w:p w14:paraId="48A60E4A" w14:textId="7E31E53B" w:rsidR="0098631E" w:rsidRDefault="0098631E" w:rsidP="00603EFF">
      <w:pPr>
        <w:pStyle w:val="Sansinterligne"/>
        <w:jc w:val="both"/>
        <w:rPr>
          <w:sz w:val="16"/>
          <w:szCs w:val="16"/>
        </w:rPr>
      </w:pPr>
      <w:bookmarkStart w:id="2" w:name="_Hlk36736253"/>
      <w:bookmarkStart w:id="3" w:name="_GoBack"/>
      <w:r w:rsidRPr="001C0113">
        <w:rPr>
          <w:sz w:val="16"/>
          <w:szCs w:val="16"/>
        </w:rPr>
        <w:t>La plaque de p</w:t>
      </w:r>
      <w:r w:rsidR="00617FE0">
        <w:rPr>
          <w:sz w:val="16"/>
          <w:szCs w:val="16"/>
        </w:rPr>
        <w:t xml:space="preserve">arement standard est moulée en </w:t>
      </w:r>
      <w:r w:rsidRPr="001C0113">
        <w:rPr>
          <w:sz w:val="16"/>
          <w:szCs w:val="16"/>
        </w:rPr>
        <w:t xml:space="preserve">polyester HDC et a une épaisseur moyenne de </w:t>
      </w:r>
      <w:r>
        <w:rPr>
          <w:sz w:val="16"/>
          <w:szCs w:val="16"/>
        </w:rPr>
        <w:t xml:space="preserve">2,8 </w:t>
      </w:r>
      <w:r w:rsidRPr="00AE161D">
        <w:rPr>
          <w:sz w:val="14"/>
          <w:szCs w:val="14"/>
        </w:rPr>
        <w:t>(± 0</w:t>
      </w:r>
      <w:r>
        <w:rPr>
          <w:sz w:val="14"/>
          <w:szCs w:val="14"/>
        </w:rPr>
        <w:t>,</w:t>
      </w:r>
      <w:r w:rsidRPr="00AE161D">
        <w:rPr>
          <w:sz w:val="14"/>
          <w:szCs w:val="14"/>
        </w:rPr>
        <w:t>2)</w:t>
      </w:r>
      <w:r>
        <w:rPr>
          <w:sz w:val="12"/>
          <w:szCs w:val="12"/>
        </w:rPr>
        <w:t xml:space="preserve"> </w:t>
      </w:r>
      <w:r w:rsidRPr="001C0113">
        <w:rPr>
          <w:sz w:val="16"/>
          <w:szCs w:val="16"/>
        </w:rPr>
        <w:t>mm</w:t>
      </w:r>
      <w:r w:rsidR="000301CF">
        <w:rPr>
          <w:sz w:val="16"/>
          <w:szCs w:val="16"/>
        </w:rPr>
        <w:t xml:space="preserve"> pour les formats 60x60 / 60x30 ou une épaisseur de 4mm </w:t>
      </w:r>
      <w:r w:rsidR="000301CF" w:rsidRPr="00AE161D">
        <w:rPr>
          <w:sz w:val="14"/>
          <w:szCs w:val="14"/>
        </w:rPr>
        <w:t>(± 0</w:t>
      </w:r>
      <w:r w:rsidR="000301CF">
        <w:rPr>
          <w:sz w:val="14"/>
          <w:szCs w:val="14"/>
        </w:rPr>
        <w:t>,</w:t>
      </w:r>
      <w:r w:rsidR="000301CF" w:rsidRPr="00AE161D">
        <w:rPr>
          <w:sz w:val="14"/>
          <w:szCs w:val="14"/>
        </w:rPr>
        <w:t>2)</w:t>
      </w:r>
      <w:r w:rsidR="000301CF">
        <w:rPr>
          <w:sz w:val="12"/>
          <w:szCs w:val="12"/>
        </w:rPr>
        <w:t xml:space="preserve"> </w:t>
      </w:r>
      <w:r w:rsidR="000301CF">
        <w:rPr>
          <w:sz w:val="16"/>
          <w:szCs w:val="16"/>
        </w:rPr>
        <w:t>Pour les formats 120x60 / 60x120 / 135x60</w:t>
      </w:r>
      <w:bookmarkEnd w:id="2"/>
      <w:bookmarkEnd w:id="3"/>
      <w:r w:rsidRPr="001C0113">
        <w:rPr>
          <w:sz w:val="16"/>
          <w:szCs w:val="16"/>
        </w:rPr>
        <w:t>. Elle est bordée en rive longit</w:t>
      </w:r>
      <w:r w:rsidR="00617FE0">
        <w:rPr>
          <w:sz w:val="16"/>
          <w:szCs w:val="16"/>
        </w:rPr>
        <w:t>udinale haute, d'une gorge de 38</w:t>
      </w:r>
      <w:r w:rsidRPr="001C0113">
        <w:rPr>
          <w:sz w:val="16"/>
          <w:szCs w:val="16"/>
        </w:rPr>
        <w:t xml:space="preserve"> mm comportant </w:t>
      </w:r>
      <w:r w:rsidR="00617FE0">
        <w:rPr>
          <w:sz w:val="16"/>
          <w:szCs w:val="16"/>
        </w:rPr>
        <w:t>4 à 6</w:t>
      </w:r>
      <w:r>
        <w:rPr>
          <w:sz w:val="16"/>
          <w:szCs w:val="16"/>
        </w:rPr>
        <w:t xml:space="preserve"> trous pré-</w:t>
      </w:r>
      <w:r w:rsidRPr="001C0113">
        <w:rPr>
          <w:sz w:val="16"/>
          <w:szCs w:val="16"/>
        </w:rPr>
        <w:t xml:space="preserve">percés de </w:t>
      </w:r>
      <w:smartTag w:uri="urn:schemas-microsoft-com:office:smarttags" w:element="metricconverter">
        <w:smartTagPr>
          <w:attr w:name="ProductID" w:val="5,5 mm"/>
        </w:smartTagPr>
        <w:r w:rsidRPr="001C0113">
          <w:rPr>
            <w:sz w:val="16"/>
            <w:szCs w:val="16"/>
          </w:rPr>
          <w:t>8,5 mm</w:t>
        </w:r>
      </w:smartTag>
      <w:r w:rsidRPr="001C0113">
        <w:rPr>
          <w:sz w:val="16"/>
          <w:szCs w:val="16"/>
        </w:rPr>
        <w:t xml:space="preserve"> pour le passage des chevilles et en rive latérale droite, d'une gorge de </w:t>
      </w:r>
      <w:r w:rsidR="00617FE0">
        <w:rPr>
          <w:sz w:val="16"/>
          <w:szCs w:val="16"/>
        </w:rPr>
        <w:t>22 à 33</w:t>
      </w:r>
      <w:r w:rsidRPr="001C0113">
        <w:rPr>
          <w:sz w:val="16"/>
          <w:szCs w:val="16"/>
        </w:rPr>
        <w:t xml:space="preserve"> mm comportant des nervures d'arrêt pour l'em</w:t>
      </w:r>
      <w:r>
        <w:rPr>
          <w:sz w:val="16"/>
          <w:szCs w:val="16"/>
        </w:rPr>
        <w:t xml:space="preserve">boîtement du panneau adjacent. </w:t>
      </w:r>
    </w:p>
    <w:p w14:paraId="5B33F228" w14:textId="77777777" w:rsidR="000301CF" w:rsidRPr="001C0113" w:rsidRDefault="000301CF" w:rsidP="00603EFF">
      <w:pPr>
        <w:pStyle w:val="Sansinterligne"/>
        <w:jc w:val="both"/>
        <w:rPr>
          <w:sz w:val="16"/>
          <w:szCs w:val="16"/>
        </w:rPr>
      </w:pPr>
    </w:p>
    <w:p w14:paraId="48A60E4B" w14:textId="77777777" w:rsidR="0098631E" w:rsidRPr="001C0113" w:rsidRDefault="0098631E" w:rsidP="00603EFF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 xml:space="preserve">La teinte de la plaque est réalisée après moulage par projection d’un revêtement organique dans une enceinte sous pression, puis passage en cuisson dans un tunnel de séchage. </w:t>
      </w:r>
    </w:p>
    <w:p w14:paraId="48A60E4C" w14:textId="77777777" w:rsidR="0098631E" w:rsidRPr="001C0113" w:rsidRDefault="0098631E" w:rsidP="00603EFF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 xml:space="preserve"> </w:t>
      </w:r>
    </w:p>
    <w:p w14:paraId="48A60E4D" w14:textId="77777777" w:rsidR="0098631E" w:rsidRPr="00A43821" w:rsidRDefault="0098631E" w:rsidP="00603EFF">
      <w:pPr>
        <w:pStyle w:val="Sansinterligne"/>
        <w:ind w:firstLine="36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3.2</w:t>
      </w:r>
      <w:r w:rsidRPr="00A43821">
        <w:rPr>
          <w:b/>
          <w:sz w:val="16"/>
          <w:szCs w:val="16"/>
        </w:rPr>
        <w:t xml:space="preserve"> Plaques de parement MASSIF </w:t>
      </w:r>
    </w:p>
    <w:p w14:paraId="48A60E4E" w14:textId="6149A3E3" w:rsidR="0098631E" w:rsidRDefault="0098631E" w:rsidP="00603EFF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 xml:space="preserve">Présentant tous les aspects des parements standards, le parement de cette série a une épaisseur nominale de </w:t>
      </w:r>
      <w:smartTag w:uri="urn:schemas-microsoft-com:office:smarttags" w:element="metricconverter">
        <w:smartTagPr>
          <w:attr w:name="ProductID" w:val="5,5 mm"/>
        </w:smartTagPr>
        <w:r w:rsidRPr="001C0113">
          <w:rPr>
            <w:sz w:val="16"/>
            <w:szCs w:val="16"/>
          </w:rPr>
          <w:t>5 mm</w:t>
        </w:r>
      </w:smartTag>
      <w:r w:rsidRPr="001C0113">
        <w:rPr>
          <w:sz w:val="16"/>
          <w:szCs w:val="16"/>
        </w:rPr>
        <w:t xml:space="preserve"> </w:t>
      </w:r>
      <w:r w:rsidRPr="00AE161D">
        <w:rPr>
          <w:sz w:val="14"/>
          <w:szCs w:val="14"/>
        </w:rPr>
        <w:t>(± 0</w:t>
      </w:r>
      <w:r>
        <w:rPr>
          <w:sz w:val="14"/>
          <w:szCs w:val="14"/>
        </w:rPr>
        <w:t>,35</w:t>
      </w:r>
      <w:r w:rsidRPr="00AE161D">
        <w:rPr>
          <w:sz w:val="14"/>
          <w:szCs w:val="14"/>
        </w:rPr>
        <w:t>)</w:t>
      </w:r>
      <w:r>
        <w:rPr>
          <w:sz w:val="12"/>
          <w:szCs w:val="12"/>
        </w:rPr>
        <w:t xml:space="preserve"> </w:t>
      </w:r>
      <w:r w:rsidRPr="001C0113">
        <w:rPr>
          <w:sz w:val="16"/>
          <w:szCs w:val="16"/>
        </w:rPr>
        <w:t>mm et permet l'emboîtement en partie haute des éléments standard</w:t>
      </w:r>
      <w:r>
        <w:rPr>
          <w:sz w:val="16"/>
          <w:szCs w:val="16"/>
        </w:rPr>
        <w:t>s</w:t>
      </w:r>
      <w:r w:rsidRPr="001C0113">
        <w:rPr>
          <w:sz w:val="16"/>
          <w:szCs w:val="16"/>
        </w:rPr>
        <w:t>.</w:t>
      </w:r>
    </w:p>
    <w:p w14:paraId="61211AC6" w14:textId="77777777" w:rsidR="000301CF" w:rsidRDefault="000301CF" w:rsidP="00603EFF">
      <w:pPr>
        <w:pStyle w:val="Sansinterligne"/>
        <w:jc w:val="both"/>
        <w:rPr>
          <w:sz w:val="16"/>
          <w:szCs w:val="16"/>
        </w:rPr>
      </w:pPr>
    </w:p>
    <w:p w14:paraId="62CF0F22" w14:textId="77777777" w:rsidR="000301CF" w:rsidRDefault="000301CF" w:rsidP="000301CF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>Des tasseaux (ou lisse) de l’ossature secondaire seront disposés à mi-hauteur des éléments afin de satisfaire</w:t>
      </w:r>
      <w:r w:rsidRPr="001C0113">
        <w:rPr>
          <w:sz w:val="16"/>
          <w:szCs w:val="16"/>
        </w:rPr>
        <w:t xml:space="preserve"> à la classe Q4</w:t>
      </w:r>
      <w:r>
        <w:rPr>
          <w:sz w:val="16"/>
          <w:szCs w:val="16"/>
        </w:rPr>
        <w:t xml:space="preserve"> difficilement remplaçable </w:t>
      </w:r>
      <w:r w:rsidRPr="001C0113">
        <w:rPr>
          <w:sz w:val="16"/>
          <w:szCs w:val="16"/>
        </w:rPr>
        <w:t xml:space="preserve">et être mis en place </w:t>
      </w:r>
      <w:r>
        <w:rPr>
          <w:sz w:val="16"/>
          <w:szCs w:val="16"/>
        </w:rPr>
        <w:t xml:space="preserve">sur les </w:t>
      </w:r>
      <w:r w:rsidRPr="001C0113">
        <w:rPr>
          <w:sz w:val="16"/>
          <w:szCs w:val="16"/>
        </w:rPr>
        <w:t>partie</w:t>
      </w:r>
      <w:r>
        <w:rPr>
          <w:sz w:val="16"/>
          <w:szCs w:val="16"/>
        </w:rPr>
        <w:t>s</w:t>
      </w:r>
      <w:r w:rsidRPr="001C0113">
        <w:rPr>
          <w:sz w:val="16"/>
          <w:szCs w:val="16"/>
        </w:rPr>
        <w:t xml:space="preserve"> </w:t>
      </w:r>
      <w:r>
        <w:rPr>
          <w:sz w:val="16"/>
          <w:szCs w:val="16"/>
        </w:rPr>
        <w:t>de façade</w:t>
      </w:r>
      <w:r w:rsidRPr="001C0113">
        <w:rPr>
          <w:sz w:val="16"/>
          <w:szCs w:val="16"/>
        </w:rPr>
        <w:t xml:space="preserve"> </w:t>
      </w:r>
      <w:r>
        <w:rPr>
          <w:sz w:val="16"/>
          <w:szCs w:val="16"/>
        </w:rPr>
        <w:t>exposées aux chocs</w:t>
      </w:r>
      <w:r w:rsidRPr="001C0113">
        <w:rPr>
          <w:sz w:val="16"/>
          <w:szCs w:val="16"/>
        </w:rPr>
        <w:t xml:space="preserve">. </w:t>
      </w:r>
    </w:p>
    <w:p w14:paraId="48A60E50" w14:textId="77777777" w:rsidR="0098631E" w:rsidRDefault="0098631E" w:rsidP="00603EFF">
      <w:pPr>
        <w:pStyle w:val="Sansinterligne"/>
        <w:jc w:val="both"/>
        <w:rPr>
          <w:sz w:val="16"/>
          <w:szCs w:val="16"/>
        </w:rPr>
      </w:pPr>
    </w:p>
    <w:p w14:paraId="48A60E51" w14:textId="77777777" w:rsidR="0098631E" w:rsidRPr="001C0113" w:rsidRDefault="0098631E" w:rsidP="00603EFF">
      <w:pPr>
        <w:pStyle w:val="Sansinterligne"/>
        <w:jc w:val="both"/>
        <w:rPr>
          <w:sz w:val="16"/>
          <w:szCs w:val="16"/>
        </w:rPr>
      </w:pPr>
    </w:p>
    <w:p w14:paraId="48A60E52" w14:textId="4FBF53EC" w:rsidR="004D4999" w:rsidRDefault="0098631E" w:rsidP="00603EFF">
      <w:pPr>
        <w:numPr>
          <w:ilvl w:val="0"/>
          <w:numId w:val="5"/>
        </w:numPr>
        <w:tabs>
          <w:tab w:val="num" w:pos="426"/>
        </w:tabs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603EFF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4D4999" w:rsidRPr="003E4D68">
        <w:rPr>
          <w:rFonts w:ascii="Verdana" w:hAnsi="Verdana"/>
          <w:b/>
          <w:bCs/>
          <w:sz w:val="18"/>
          <w:szCs w:val="18"/>
          <w:u w:val="single"/>
        </w:rPr>
        <w:t>Ossature</w:t>
      </w:r>
      <w:r w:rsidR="00F862E3">
        <w:rPr>
          <w:rFonts w:ascii="Verdana" w:hAnsi="Verdana"/>
          <w:b/>
          <w:bCs/>
          <w:sz w:val="18"/>
          <w:szCs w:val="18"/>
          <w:u w:val="single"/>
        </w:rPr>
        <w:t xml:space="preserve"> et Domaines d’Emploi : </w:t>
      </w:r>
    </w:p>
    <w:p w14:paraId="7A0364A4" w14:textId="6F38D499" w:rsidR="00F862E3" w:rsidRDefault="00F862E3" w:rsidP="00F862E3">
      <w:pPr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7CD7E13" w14:textId="77777777" w:rsidR="00F862E3" w:rsidRPr="00F862E3" w:rsidRDefault="00F862E3" w:rsidP="00F862E3">
      <w:pPr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F862E3">
        <w:rPr>
          <w:rFonts w:ascii="Verdana" w:hAnsi="Verdana"/>
          <w:b/>
          <w:bCs/>
          <w:sz w:val="18"/>
          <w:szCs w:val="18"/>
          <w:u w:val="single"/>
        </w:rPr>
        <w:t xml:space="preserve">Domaines d’Emploi : </w:t>
      </w:r>
    </w:p>
    <w:p w14:paraId="416A65B6" w14:textId="77777777" w:rsidR="00F862E3" w:rsidRPr="00F862E3" w:rsidRDefault="00F862E3" w:rsidP="00F862E3">
      <w:pPr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29CCC38C" w14:textId="77777777" w:rsidR="00F862E3" w:rsidRPr="00F862E3" w:rsidRDefault="00F862E3" w:rsidP="00F862E3">
      <w:pPr>
        <w:jc w:val="both"/>
        <w:rPr>
          <w:rFonts w:ascii="Verdana" w:hAnsi="Verdana"/>
          <w:sz w:val="18"/>
          <w:szCs w:val="18"/>
        </w:rPr>
      </w:pPr>
      <w:r w:rsidRPr="00F862E3">
        <w:rPr>
          <w:rFonts w:ascii="Verdana" w:hAnsi="Verdana"/>
          <w:sz w:val="18"/>
          <w:szCs w:val="18"/>
        </w:rPr>
        <w:t>-Béton plein ou maçonnerie d’éléments enduits.</w:t>
      </w:r>
    </w:p>
    <w:p w14:paraId="7240D682" w14:textId="2F768FD4" w:rsidR="00F862E3" w:rsidRPr="00F862E3" w:rsidRDefault="00F862E3" w:rsidP="00F862E3">
      <w:pPr>
        <w:jc w:val="both"/>
        <w:rPr>
          <w:rFonts w:ascii="Verdana" w:hAnsi="Verdana"/>
          <w:sz w:val="18"/>
          <w:szCs w:val="18"/>
        </w:rPr>
      </w:pPr>
      <w:r w:rsidRPr="00F862E3">
        <w:rPr>
          <w:rFonts w:ascii="Verdana" w:hAnsi="Verdana"/>
          <w:sz w:val="18"/>
          <w:szCs w:val="18"/>
        </w:rPr>
        <w:t>-COB : Construction Ossature Bois.</w:t>
      </w:r>
    </w:p>
    <w:p w14:paraId="48A60E53" w14:textId="77777777" w:rsidR="004D4999" w:rsidRPr="00F862E3" w:rsidRDefault="004D4999" w:rsidP="00603EFF">
      <w:pPr>
        <w:jc w:val="both"/>
        <w:rPr>
          <w:rFonts w:ascii="Verdana" w:hAnsi="Verdana"/>
          <w:sz w:val="16"/>
          <w:szCs w:val="16"/>
        </w:rPr>
      </w:pPr>
      <w:r w:rsidRPr="00F862E3">
        <w:rPr>
          <w:rFonts w:ascii="Verdana" w:hAnsi="Verdana"/>
          <w:sz w:val="18"/>
          <w:szCs w:val="18"/>
        </w:rPr>
        <w:t xml:space="preserve"> </w:t>
      </w:r>
    </w:p>
    <w:p w14:paraId="48A60E54" w14:textId="77777777" w:rsidR="004D4999" w:rsidRPr="003E4D68" w:rsidRDefault="004D4999" w:rsidP="00603EFF">
      <w:pPr>
        <w:ind w:firstLine="720"/>
        <w:jc w:val="both"/>
        <w:rPr>
          <w:rFonts w:ascii="Verdana" w:hAnsi="Verdana"/>
          <w:b/>
          <w:sz w:val="16"/>
          <w:szCs w:val="16"/>
        </w:rPr>
      </w:pPr>
      <w:r w:rsidRPr="003E4D68">
        <w:rPr>
          <w:rFonts w:ascii="Verdana" w:hAnsi="Verdana"/>
          <w:b/>
          <w:sz w:val="16"/>
          <w:szCs w:val="16"/>
        </w:rPr>
        <w:lastRenderedPageBreak/>
        <w:t xml:space="preserve">4.1 Ossature </w:t>
      </w:r>
      <w:r>
        <w:rPr>
          <w:rFonts w:ascii="Verdana" w:hAnsi="Verdana"/>
          <w:b/>
          <w:sz w:val="16"/>
          <w:szCs w:val="16"/>
        </w:rPr>
        <w:t>Primaire</w:t>
      </w:r>
      <w:r w:rsidRPr="003E4D68">
        <w:rPr>
          <w:rFonts w:ascii="Verdana" w:hAnsi="Verdana"/>
          <w:b/>
          <w:sz w:val="16"/>
          <w:szCs w:val="16"/>
        </w:rPr>
        <w:t xml:space="preserve"> : </w:t>
      </w:r>
    </w:p>
    <w:p w14:paraId="48A60E56" w14:textId="77777777" w:rsidR="004D4999" w:rsidRPr="003E4D68" w:rsidRDefault="004D4999" w:rsidP="00603EFF">
      <w:pPr>
        <w:jc w:val="both"/>
        <w:rPr>
          <w:rFonts w:ascii="Verdana" w:eastAsia="MS Mincho" w:hAnsi="Verdana" w:cs="Verdana"/>
          <w:sz w:val="14"/>
          <w:szCs w:val="14"/>
          <w:lang w:eastAsia="ja-JP"/>
        </w:rPr>
      </w:pPr>
    </w:p>
    <w:p w14:paraId="48A60E57" w14:textId="076B0567" w:rsidR="004D4999" w:rsidRPr="000301CF" w:rsidRDefault="004D4999" w:rsidP="000301CF">
      <w:pPr>
        <w:pStyle w:val="Paragraphedeliste"/>
        <w:numPr>
          <w:ilvl w:val="2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0301CF">
        <w:rPr>
          <w:rFonts w:ascii="Verdana" w:hAnsi="Verdana"/>
          <w:b/>
          <w:sz w:val="16"/>
          <w:szCs w:val="16"/>
        </w:rPr>
        <w:t xml:space="preserve">Ossature primaire </w:t>
      </w:r>
      <w:proofErr w:type="spellStart"/>
      <w:r w:rsidR="000301CF" w:rsidRPr="000301CF">
        <w:rPr>
          <w:rFonts w:ascii="Verdana" w:hAnsi="Verdana"/>
          <w:b/>
          <w:sz w:val="16"/>
          <w:szCs w:val="16"/>
        </w:rPr>
        <w:t>métalique</w:t>
      </w:r>
      <w:proofErr w:type="spellEnd"/>
    </w:p>
    <w:p w14:paraId="48A60E5D" w14:textId="23FEDB6C" w:rsidR="004D4999" w:rsidRDefault="004D4999" w:rsidP="000301CF">
      <w:pPr>
        <w:jc w:val="both"/>
        <w:rPr>
          <w:rFonts w:ascii="Verdana" w:hAnsi="Verdana"/>
          <w:b/>
          <w:sz w:val="16"/>
          <w:szCs w:val="16"/>
        </w:rPr>
      </w:pPr>
    </w:p>
    <w:p w14:paraId="1208D61B" w14:textId="77777777" w:rsidR="000301CF" w:rsidRPr="00CC550A" w:rsidRDefault="000301CF" w:rsidP="000301CF">
      <w:pPr>
        <w:jc w:val="both"/>
        <w:rPr>
          <w:rFonts w:ascii="Verdana" w:eastAsia="MS Mincho" w:hAnsi="Verdana" w:cs="Verdana"/>
          <w:sz w:val="14"/>
          <w:szCs w:val="14"/>
          <w:lang w:eastAsia="ja-JP"/>
        </w:rPr>
      </w:pPr>
      <w:r w:rsidRPr="00CC550A">
        <w:rPr>
          <w:rFonts w:ascii="Verdana" w:hAnsi="Verdana"/>
          <w:sz w:val="16"/>
          <w:szCs w:val="16"/>
        </w:rPr>
        <w:t>Les composants et la conception de l’ossature métallique seront conformes au Cahier du CSTB 3194 et son modificatif 3586-V2.</w:t>
      </w:r>
      <w:r w:rsidRPr="00CC550A">
        <w:rPr>
          <w:rFonts w:ascii="Verdana" w:eastAsia="MS Mincho" w:hAnsi="Verdana" w:cs="Verdana"/>
          <w:sz w:val="14"/>
          <w:szCs w:val="14"/>
          <w:lang w:eastAsia="ja-JP"/>
        </w:rPr>
        <w:t xml:space="preserve"> </w:t>
      </w:r>
    </w:p>
    <w:p w14:paraId="780A854D" w14:textId="77777777" w:rsidR="000301CF" w:rsidRPr="003E4D68" w:rsidRDefault="000301CF" w:rsidP="000301CF">
      <w:pPr>
        <w:widowControl/>
        <w:jc w:val="both"/>
        <w:rPr>
          <w:rFonts w:ascii="Verdana" w:hAnsi="Verdana"/>
          <w:sz w:val="16"/>
          <w:szCs w:val="16"/>
        </w:rPr>
      </w:pPr>
      <w:r w:rsidRPr="003E4D68">
        <w:rPr>
          <w:rFonts w:ascii="Verdana" w:hAnsi="Verdana"/>
          <w:sz w:val="16"/>
          <w:szCs w:val="16"/>
        </w:rPr>
        <w:t xml:space="preserve">L’entraxe de l’ossature primaire verticale est limité à </w:t>
      </w:r>
      <w:smartTag w:uri="urn:schemas-microsoft-com:office:smarttags" w:element="metricconverter">
        <w:smartTagPr>
          <w:attr w:name="ProductID" w:val="900 mm"/>
        </w:smartTagPr>
        <w:r w:rsidRPr="003E4D68">
          <w:rPr>
            <w:rFonts w:ascii="Verdana" w:hAnsi="Verdana"/>
            <w:sz w:val="16"/>
            <w:szCs w:val="16"/>
          </w:rPr>
          <w:t>900 mm</w:t>
        </w:r>
      </w:smartTag>
      <w:r w:rsidRPr="003E4D68">
        <w:rPr>
          <w:rFonts w:ascii="Verdana" w:hAnsi="Verdana"/>
          <w:sz w:val="16"/>
          <w:szCs w:val="16"/>
        </w:rPr>
        <w:t xml:space="preserve"> </w:t>
      </w:r>
    </w:p>
    <w:p w14:paraId="46A8D45B" w14:textId="77777777" w:rsidR="000301CF" w:rsidRDefault="000301CF" w:rsidP="000301CF">
      <w:pPr>
        <w:jc w:val="both"/>
        <w:rPr>
          <w:rFonts w:ascii="Verdana" w:hAnsi="Verdana"/>
          <w:b/>
          <w:sz w:val="16"/>
          <w:szCs w:val="16"/>
        </w:rPr>
      </w:pPr>
    </w:p>
    <w:p w14:paraId="55E78ACA" w14:textId="77777777" w:rsidR="000301CF" w:rsidRPr="00CC550A" w:rsidRDefault="000301CF" w:rsidP="000301CF">
      <w:pPr>
        <w:jc w:val="both"/>
        <w:rPr>
          <w:rFonts w:ascii="Verdana" w:hAnsi="Verdana"/>
          <w:b/>
          <w:sz w:val="16"/>
          <w:szCs w:val="16"/>
        </w:rPr>
      </w:pPr>
    </w:p>
    <w:p w14:paraId="2EC43828" w14:textId="77777777" w:rsidR="000301CF" w:rsidRPr="00CC550A" w:rsidRDefault="000301CF" w:rsidP="000301CF">
      <w:pPr>
        <w:pStyle w:val="Paragraphedeliste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Cas de l’ossature </w:t>
      </w:r>
      <w:r w:rsidRPr="00CC550A">
        <w:rPr>
          <w:rFonts w:ascii="Verdana" w:hAnsi="Verdana"/>
          <w:b/>
          <w:sz w:val="16"/>
          <w:szCs w:val="16"/>
        </w:rPr>
        <w:t>CAREA PRIMALU</w:t>
      </w:r>
    </w:p>
    <w:p w14:paraId="38AB2907" w14:textId="77777777" w:rsidR="000301CF" w:rsidRPr="003E4D68" w:rsidRDefault="000301CF" w:rsidP="000301CF">
      <w:pPr>
        <w:widowControl/>
        <w:jc w:val="both"/>
        <w:rPr>
          <w:rFonts w:ascii="Verdana" w:hAnsi="Verdana"/>
          <w:sz w:val="16"/>
          <w:szCs w:val="16"/>
        </w:rPr>
      </w:pPr>
      <w:r w:rsidRPr="003E4D68">
        <w:rPr>
          <w:rFonts w:ascii="Verdana" w:hAnsi="Verdana"/>
          <w:sz w:val="16"/>
          <w:szCs w:val="16"/>
        </w:rPr>
        <w:t xml:space="preserve">Cette ossature est constituée </w:t>
      </w:r>
      <w:r>
        <w:rPr>
          <w:rFonts w:ascii="Verdana" w:hAnsi="Verdana" w:cs="Verdana"/>
          <w:sz w:val="16"/>
          <w:szCs w:val="16"/>
        </w:rPr>
        <w:t>de</w:t>
      </w:r>
      <w:r w:rsidRPr="003E4D68">
        <w:rPr>
          <w:rFonts w:ascii="Verdana" w:hAnsi="Verdana" w:cs="Verdana"/>
          <w:sz w:val="16"/>
          <w:szCs w:val="16"/>
        </w:rPr>
        <w:t xml:space="preserve"> montant</w:t>
      </w:r>
      <w:r>
        <w:rPr>
          <w:rFonts w:ascii="Verdana" w:hAnsi="Verdana" w:cs="Verdana"/>
          <w:sz w:val="16"/>
          <w:szCs w:val="16"/>
        </w:rPr>
        <w:t>s verticaux en aluminium striés de dimension 65 x 50</w:t>
      </w:r>
      <w:r w:rsidRPr="003E4D68">
        <w:rPr>
          <w:rFonts w:ascii="Verdana" w:hAnsi="Verdana" w:cs="Verdana"/>
          <w:sz w:val="16"/>
          <w:szCs w:val="16"/>
        </w:rPr>
        <w:t xml:space="preserve"> mm</w:t>
      </w:r>
      <w:r>
        <w:rPr>
          <w:rFonts w:ascii="Verdana" w:hAnsi="Verdana" w:cs="Verdana"/>
          <w:sz w:val="16"/>
          <w:szCs w:val="16"/>
        </w:rPr>
        <w:t>,</w:t>
      </w:r>
      <w:r w:rsidRPr="003E4D68">
        <w:rPr>
          <w:rFonts w:ascii="Verdana" w:hAnsi="Verdana"/>
          <w:sz w:val="16"/>
          <w:szCs w:val="16"/>
        </w:rPr>
        <w:t xml:space="preserve"> en longueur de </w:t>
      </w:r>
      <w:smartTag w:uri="urn:schemas-microsoft-com:office:smarttags" w:element="metricconverter">
        <w:smartTagPr>
          <w:attr w:name="ProductID" w:val="5,5 mm"/>
        </w:smartTagPr>
        <w:r w:rsidRPr="003E4D68">
          <w:rPr>
            <w:rFonts w:ascii="Verdana" w:hAnsi="Verdana"/>
            <w:sz w:val="16"/>
            <w:szCs w:val="16"/>
          </w:rPr>
          <w:t>6 mètres</w:t>
        </w:r>
      </w:smartTag>
      <w:r w:rsidRPr="003E4D68">
        <w:rPr>
          <w:rFonts w:ascii="Verdana" w:hAnsi="Verdana"/>
          <w:sz w:val="16"/>
          <w:szCs w:val="16"/>
        </w:rPr>
        <w:t xml:space="preserve"> et d’équerres de fixation de profondeur 100, 120, </w:t>
      </w:r>
      <w:r>
        <w:rPr>
          <w:rFonts w:ascii="Verdana" w:hAnsi="Verdana"/>
          <w:sz w:val="16"/>
          <w:szCs w:val="16"/>
        </w:rPr>
        <w:t xml:space="preserve">140, </w:t>
      </w:r>
      <w:r w:rsidRPr="003E4D68">
        <w:rPr>
          <w:rFonts w:ascii="Verdana" w:hAnsi="Verdana"/>
          <w:sz w:val="16"/>
          <w:szCs w:val="16"/>
        </w:rPr>
        <w:t>160 ou 200</w:t>
      </w:r>
      <w:r>
        <w:rPr>
          <w:rFonts w:ascii="Verdana" w:hAnsi="Verdana"/>
          <w:sz w:val="16"/>
          <w:szCs w:val="16"/>
        </w:rPr>
        <w:t xml:space="preserve"> </w:t>
      </w:r>
      <w:r w:rsidRPr="003E4D68">
        <w:rPr>
          <w:rFonts w:ascii="Verdana" w:hAnsi="Verdana"/>
          <w:sz w:val="16"/>
          <w:szCs w:val="16"/>
        </w:rPr>
        <w:t xml:space="preserve">mm de hauteur </w:t>
      </w:r>
      <w:smartTag w:uri="urn:schemas-microsoft-com:office:smarttags" w:element="metricconverter">
        <w:smartTagPr>
          <w:attr w:name="ProductID" w:val="5,5 mm"/>
        </w:smartTagPr>
        <w:r w:rsidRPr="003E4D68">
          <w:rPr>
            <w:rFonts w:ascii="Verdana" w:hAnsi="Verdana"/>
            <w:sz w:val="16"/>
            <w:szCs w:val="16"/>
          </w:rPr>
          <w:t>160 mm</w:t>
        </w:r>
      </w:smartTag>
      <w:r w:rsidRPr="003E4D68">
        <w:rPr>
          <w:rFonts w:ascii="Verdana" w:hAnsi="Verdana"/>
          <w:sz w:val="16"/>
          <w:szCs w:val="16"/>
        </w:rPr>
        <w:t xml:space="preserve"> pour le point fixe et de hauteur 80</w:t>
      </w:r>
      <w:r>
        <w:rPr>
          <w:rFonts w:ascii="Verdana" w:hAnsi="Verdana"/>
          <w:sz w:val="16"/>
          <w:szCs w:val="16"/>
        </w:rPr>
        <w:t xml:space="preserve"> </w:t>
      </w:r>
      <w:r w:rsidRPr="003E4D68">
        <w:rPr>
          <w:rFonts w:ascii="Verdana" w:hAnsi="Verdana"/>
          <w:sz w:val="16"/>
          <w:szCs w:val="16"/>
        </w:rPr>
        <w:t xml:space="preserve">mm pour les points coulissants. </w:t>
      </w:r>
    </w:p>
    <w:p w14:paraId="1951CADC" w14:textId="77777777" w:rsidR="000301CF" w:rsidRPr="003E4D68" w:rsidRDefault="000301CF" w:rsidP="000301CF">
      <w:pPr>
        <w:jc w:val="both"/>
        <w:rPr>
          <w:rFonts w:ascii="Verdana" w:hAnsi="Verdana"/>
          <w:sz w:val="16"/>
          <w:szCs w:val="16"/>
        </w:rPr>
      </w:pPr>
      <w:r w:rsidRPr="003E4D68">
        <w:rPr>
          <w:rFonts w:ascii="Verdana" w:hAnsi="Verdana"/>
          <w:sz w:val="16"/>
          <w:szCs w:val="16"/>
        </w:rPr>
        <w:t>Elle est réalisée en alliage 6060 T5 ou 6063 T5 filé suivant norme NF EN 755.</w:t>
      </w:r>
    </w:p>
    <w:p w14:paraId="71E0212D" w14:textId="77777777" w:rsidR="000301CF" w:rsidRPr="003E4D68" w:rsidRDefault="000301CF" w:rsidP="000301CF">
      <w:pPr>
        <w:jc w:val="both"/>
        <w:rPr>
          <w:rFonts w:ascii="Verdana" w:hAnsi="Verdana"/>
          <w:sz w:val="16"/>
          <w:szCs w:val="16"/>
        </w:rPr>
      </w:pPr>
    </w:p>
    <w:p w14:paraId="3E65B196" w14:textId="77777777" w:rsidR="000301CF" w:rsidRPr="003E4D68" w:rsidRDefault="000301CF" w:rsidP="000301CF">
      <w:pPr>
        <w:jc w:val="both"/>
        <w:rPr>
          <w:rFonts w:ascii="Verdana" w:hAnsi="Verdana" w:cs="Verdana"/>
          <w:sz w:val="16"/>
          <w:szCs w:val="16"/>
        </w:rPr>
      </w:pPr>
      <w:r w:rsidRPr="003E4D68">
        <w:rPr>
          <w:rFonts w:ascii="Verdana" w:hAnsi="Verdana" w:cs="Verdana"/>
          <w:sz w:val="16"/>
          <w:szCs w:val="16"/>
        </w:rPr>
        <w:t xml:space="preserve">Dimensionnement d’ossature réalisé </w:t>
      </w:r>
      <w:r>
        <w:rPr>
          <w:rFonts w:ascii="Verdana" w:hAnsi="Verdana" w:cs="Verdana"/>
          <w:sz w:val="16"/>
          <w:szCs w:val="16"/>
        </w:rPr>
        <w:t>sur demande par le Bureau d’Etude</w:t>
      </w:r>
      <w:r w:rsidRPr="003E4D68">
        <w:rPr>
          <w:rFonts w:ascii="Verdana" w:hAnsi="Verdana" w:cs="Verdana"/>
          <w:sz w:val="16"/>
          <w:szCs w:val="16"/>
        </w:rPr>
        <w:t xml:space="preserve"> CAREA</w:t>
      </w:r>
      <w:r>
        <w:rPr>
          <w:rFonts w:ascii="Verdana" w:hAnsi="Verdana" w:cs="Verdana"/>
          <w:sz w:val="16"/>
          <w:szCs w:val="16"/>
        </w:rPr>
        <w:t>.</w:t>
      </w:r>
    </w:p>
    <w:p w14:paraId="179CE575" w14:textId="77777777" w:rsidR="004B0FEF" w:rsidRDefault="004B0FEF" w:rsidP="00FB1AFE">
      <w:pPr>
        <w:jc w:val="both"/>
        <w:rPr>
          <w:rFonts w:ascii="Verdana" w:hAnsi="Verdana"/>
          <w:b/>
          <w:sz w:val="16"/>
          <w:szCs w:val="16"/>
        </w:rPr>
      </w:pPr>
    </w:p>
    <w:p w14:paraId="48A60E5E" w14:textId="4845D23B" w:rsidR="004D4999" w:rsidRPr="00421F5F" w:rsidRDefault="004D4999" w:rsidP="004D4999">
      <w:pPr>
        <w:ind w:left="1080" w:firstLine="360"/>
        <w:jc w:val="both"/>
        <w:rPr>
          <w:rFonts w:ascii="Verdana" w:hAnsi="Verdana"/>
          <w:b/>
          <w:sz w:val="16"/>
          <w:szCs w:val="16"/>
        </w:rPr>
      </w:pPr>
      <w:r w:rsidRPr="00421F5F">
        <w:rPr>
          <w:rFonts w:ascii="Verdana" w:hAnsi="Verdana"/>
          <w:b/>
          <w:sz w:val="16"/>
          <w:szCs w:val="16"/>
        </w:rPr>
        <w:t>4.</w:t>
      </w:r>
      <w:r>
        <w:rPr>
          <w:rFonts w:ascii="Verdana" w:hAnsi="Verdana"/>
          <w:b/>
          <w:sz w:val="16"/>
          <w:szCs w:val="16"/>
        </w:rPr>
        <w:t>1.2</w:t>
      </w:r>
      <w:r w:rsidRPr="00421F5F">
        <w:rPr>
          <w:rFonts w:ascii="Verdana" w:hAnsi="Verdana"/>
          <w:b/>
          <w:sz w:val="16"/>
          <w:szCs w:val="16"/>
        </w:rPr>
        <w:t xml:space="preserve"> Ossature </w:t>
      </w:r>
      <w:r>
        <w:rPr>
          <w:rFonts w:ascii="Verdana" w:hAnsi="Verdana"/>
          <w:b/>
          <w:sz w:val="16"/>
          <w:szCs w:val="16"/>
        </w:rPr>
        <w:t>Primaire bois</w:t>
      </w:r>
      <w:r w:rsidRPr="00421F5F">
        <w:rPr>
          <w:rFonts w:ascii="Verdana" w:hAnsi="Verdana"/>
          <w:b/>
          <w:sz w:val="16"/>
          <w:szCs w:val="16"/>
        </w:rPr>
        <w:t xml:space="preserve"> : </w:t>
      </w:r>
    </w:p>
    <w:p w14:paraId="0500E425" w14:textId="77777777" w:rsidR="000301CF" w:rsidRDefault="000301CF" w:rsidP="00603EFF">
      <w:pPr>
        <w:widowControl/>
        <w:jc w:val="both"/>
        <w:rPr>
          <w:rFonts w:ascii="Verdana" w:hAnsi="Verdana"/>
          <w:sz w:val="16"/>
          <w:szCs w:val="16"/>
        </w:rPr>
      </w:pPr>
    </w:p>
    <w:p w14:paraId="48A60E5F" w14:textId="5FCE362A" w:rsidR="004D4999" w:rsidRPr="00474414" w:rsidRDefault="004D4999" w:rsidP="00603EFF">
      <w:pPr>
        <w:widowControl/>
        <w:jc w:val="both"/>
        <w:rPr>
          <w:rFonts w:ascii="Verdana" w:hAnsi="Verdana"/>
          <w:sz w:val="16"/>
          <w:szCs w:val="16"/>
        </w:rPr>
      </w:pPr>
      <w:r w:rsidRPr="00474414">
        <w:rPr>
          <w:rFonts w:ascii="Verdana" w:hAnsi="Verdana"/>
          <w:sz w:val="16"/>
          <w:szCs w:val="16"/>
        </w:rPr>
        <w:t xml:space="preserve">Les composants et la conception de l’ossature bois seront conformes aux prescriptions du Cahier du CSTB 3316-V2, renforcées par celle ci-après : </w:t>
      </w:r>
    </w:p>
    <w:p w14:paraId="48A60E60" w14:textId="77777777" w:rsidR="004D4999" w:rsidRPr="00474414" w:rsidRDefault="004D4999" w:rsidP="00603EFF">
      <w:pPr>
        <w:widowControl/>
        <w:jc w:val="both"/>
        <w:rPr>
          <w:rFonts w:ascii="Verdana" w:hAnsi="Verdana"/>
          <w:sz w:val="16"/>
          <w:szCs w:val="16"/>
        </w:rPr>
      </w:pPr>
    </w:p>
    <w:p w14:paraId="162669CE" w14:textId="77777777" w:rsidR="000301CF" w:rsidRPr="00474414" w:rsidRDefault="000301CF" w:rsidP="000301CF">
      <w:pPr>
        <w:widowControl/>
        <w:jc w:val="both"/>
        <w:rPr>
          <w:rFonts w:ascii="Verdana" w:hAnsi="Verdana"/>
          <w:sz w:val="16"/>
          <w:szCs w:val="16"/>
        </w:rPr>
      </w:pPr>
      <w:r w:rsidRPr="00474414">
        <w:rPr>
          <w:rFonts w:ascii="Verdana" w:hAnsi="Verdana"/>
          <w:sz w:val="16"/>
          <w:szCs w:val="16"/>
        </w:rPr>
        <w:t xml:space="preserve">L’entraxe de l’ossature primaire verticale est limité à </w:t>
      </w:r>
      <w:smartTag w:uri="urn:schemas-microsoft-com:office:smarttags" w:element="metricconverter">
        <w:smartTagPr>
          <w:attr w:name="ProductID" w:val="25 mm"/>
        </w:smartTagPr>
        <w:r w:rsidRPr="00474414">
          <w:rPr>
            <w:rFonts w:ascii="Verdana" w:hAnsi="Verdana"/>
            <w:sz w:val="16"/>
            <w:szCs w:val="16"/>
          </w:rPr>
          <w:t>600 mm</w:t>
        </w:r>
      </w:smartTag>
      <w:r>
        <w:rPr>
          <w:rFonts w:ascii="Verdana" w:hAnsi="Verdana"/>
          <w:sz w:val="16"/>
          <w:szCs w:val="16"/>
        </w:rPr>
        <w:t xml:space="preserve"> (ou 645mm sur COB et CLT).</w:t>
      </w:r>
    </w:p>
    <w:p w14:paraId="48A60E62" w14:textId="77777777" w:rsidR="004D4999" w:rsidRPr="00474414" w:rsidRDefault="004D4999" w:rsidP="00603EFF">
      <w:pPr>
        <w:widowControl/>
        <w:jc w:val="both"/>
        <w:rPr>
          <w:rFonts w:ascii="Verdana" w:hAnsi="Verdana"/>
          <w:sz w:val="16"/>
          <w:szCs w:val="16"/>
        </w:rPr>
      </w:pPr>
      <w:r w:rsidRPr="00474414">
        <w:rPr>
          <w:rFonts w:ascii="Verdana" w:hAnsi="Verdana"/>
          <w:sz w:val="16"/>
          <w:szCs w:val="16"/>
        </w:rPr>
        <w:t xml:space="preserve">Les chevrons bois d’ossature verticale de largeur vue minimale </w:t>
      </w:r>
      <w:smartTag w:uri="urn:schemas-microsoft-com:office:smarttags" w:element="metricconverter">
        <w:smartTagPr>
          <w:attr w:name="ProductID" w:val="5,5 mm"/>
        </w:smartTagPr>
        <w:r w:rsidRPr="00474414">
          <w:rPr>
            <w:rFonts w:ascii="Verdana" w:hAnsi="Verdana"/>
            <w:sz w:val="16"/>
            <w:szCs w:val="16"/>
          </w:rPr>
          <w:t>50 mm</w:t>
        </w:r>
      </w:smartTag>
      <w:r w:rsidRPr="00474414">
        <w:rPr>
          <w:rFonts w:ascii="Verdana" w:hAnsi="Verdana"/>
          <w:sz w:val="16"/>
          <w:szCs w:val="16"/>
        </w:rPr>
        <w:t xml:space="preserve"> ainsi que les liteaux horizontaux (section minimale 50 x </w:t>
      </w:r>
      <w:smartTag w:uri="urn:schemas-microsoft-com:office:smarttags" w:element="metricconverter">
        <w:smartTagPr>
          <w:attr w:name="ProductID" w:val="5,5 mm"/>
        </w:smartTagPr>
        <w:r w:rsidRPr="00474414">
          <w:rPr>
            <w:rFonts w:ascii="Verdana" w:hAnsi="Verdana"/>
            <w:sz w:val="16"/>
            <w:szCs w:val="16"/>
          </w:rPr>
          <w:t>25 mm</w:t>
        </w:r>
      </w:smartTag>
      <w:r w:rsidRPr="00474414">
        <w:rPr>
          <w:rFonts w:ascii="Verdana" w:hAnsi="Verdana"/>
          <w:sz w:val="16"/>
          <w:szCs w:val="16"/>
        </w:rPr>
        <w:t>), support de fixations du parement, sero</w:t>
      </w:r>
      <w:r>
        <w:rPr>
          <w:rFonts w:ascii="Verdana" w:hAnsi="Verdana"/>
          <w:sz w:val="16"/>
          <w:szCs w:val="16"/>
        </w:rPr>
        <w:t>nt choisi pour être en conformi</w:t>
      </w:r>
      <w:r w:rsidRPr="00474414">
        <w:rPr>
          <w:rFonts w:ascii="Verdana" w:hAnsi="Verdana"/>
          <w:sz w:val="16"/>
          <w:szCs w:val="16"/>
        </w:rPr>
        <w:t xml:space="preserve">té avec le Cahier du CSTB 3316-V2. </w:t>
      </w:r>
    </w:p>
    <w:p w14:paraId="48A60E63" w14:textId="77777777" w:rsidR="004D4999" w:rsidRPr="00474414" w:rsidRDefault="004D4999" w:rsidP="00603EFF">
      <w:pPr>
        <w:jc w:val="both"/>
        <w:rPr>
          <w:rFonts w:ascii="Verdana" w:hAnsi="Verdana"/>
          <w:sz w:val="16"/>
          <w:szCs w:val="16"/>
        </w:rPr>
      </w:pPr>
      <w:r w:rsidRPr="00474414">
        <w:rPr>
          <w:rFonts w:ascii="Verdana" w:hAnsi="Verdana"/>
          <w:sz w:val="16"/>
          <w:szCs w:val="16"/>
        </w:rPr>
        <w:t>Les pattes de fixations des chevrons sur la structure porteuse devront être en conformité avec le Cahier du CSTB 3316-V2.</w:t>
      </w:r>
    </w:p>
    <w:p w14:paraId="48A60E64" w14:textId="77777777" w:rsidR="004D4999" w:rsidRPr="00474414" w:rsidRDefault="004D4999" w:rsidP="004D4999">
      <w:pPr>
        <w:widowControl/>
        <w:jc w:val="both"/>
        <w:rPr>
          <w:rFonts w:ascii="Verdana" w:hAnsi="Verdana"/>
          <w:sz w:val="16"/>
          <w:szCs w:val="16"/>
        </w:rPr>
      </w:pPr>
    </w:p>
    <w:p w14:paraId="48A60E66" w14:textId="77777777" w:rsidR="004D4999" w:rsidRDefault="004D4999" w:rsidP="00FB1AFE">
      <w:pPr>
        <w:jc w:val="both"/>
        <w:rPr>
          <w:sz w:val="14"/>
          <w:szCs w:val="14"/>
        </w:rPr>
      </w:pPr>
    </w:p>
    <w:p w14:paraId="48A60E67" w14:textId="51F1A5E1" w:rsidR="0098631E" w:rsidRPr="000301CF" w:rsidRDefault="0098631E" w:rsidP="000301CF">
      <w:pPr>
        <w:pStyle w:val="Paragraphedeliste"/>
        <w:numPr>
          <w:ilvl w:val="1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0301CF">
        <w:rPr>
          <w:rFonts w:ascii="Verdana" w:hAnsi="Verdana"/>
          <w:b/>
          <w:sz w:val="16"/>
          <w:szCs w:val="16"/>
        </w:rPr>
        <w:t>Ossature secondaire</w:t>
      </w:r>
    </w:p>
    <w:p w14:paraId="60705ECC" w14:textId="77777777" w:rsidR="000301CF" w:rsidRPr="000301CF" w:rsidRDefault="000301CF" w:rsidP="000301CF">
      <w:pPr>
        <w:pStyle w:val="Paragraphedeliste"/>
        <w:ind w:left="1425"/>
        <w:jc w:val="both"/>
        <w:rPr>
          <w:rFonts w:ascii="Verdana" w:hAnsi="Verdana"/>
          <w:b/>
          <w:sz w:val="16"/>
          <w:szCs w:val="16"/>
        </w:rPr>
      </w:pPr>
    </w:p>
    <w:p w14:paraId="48A60E68" w14:textId="77777777" w:rsidR="0098631E" w:rsidRPr="00360DCE" w:rsidRDefault="0098631E" w:rsidP="00603EFF">
      <w:pPr>
        <w:widowControl/>
        <w:jc w:val="both"/>
        <w:rPr>
          <w:rFonts w:ascii="Verdana" w:hAnsi="Verdana"/>
          <w:sz w:val="16"/>
          <w:szCs w:val="16"/>
        </w:rPr>
      </w:pPr>
      <w:r w:rsidRPr="00360DCE">
        <w:rPr>
          <w:rFonts w:ascii="Verdana" w:hAnsi="Verdana"/>
          <w:sz w:val="16"/>
          <w:szCs w:val="16"/>
        </w:rPr>
        <w:t>Les sections des lisses horizontales e</w:t>
      </w:r>
      <w:r>
        <w:rPr>
          <w:rFonts w:ascii="Verdana" w:hAnsi="Verdana"/>
          <w:sz w:val="16"/>
          <w:szCs w:val="16"/>
        </w:rPr>
        <w:t>n forme d’omégas en acier galva</w:t>
      </w:r>
      <w:r w:rsidRPr="00360DCE">
        <w:rPr>
          <w:rFonts w:ascii="Verdana" w:hAnsi="Verdana"/>
          <w:sz w:val="16"/>
          <w:szCs w:val="16"/>
        </w:rPr>
        <w:t>nisé au minimum Z 275 selon la n</w:t>
      </w:r>
      <w:r>
        <w:rPr>
          <w:rFonts w:ascii="Verdana" w:hAnsi="Verdana"/>
          <w:sz w:val="16"/>
          <w:szCs w:val="16"/>
        </w:rPr>
        <w:t>orme NF EN ISO 1461 ou en alumi</w:t>
      </w:r>
      <w:r w:rsidRPr="00360DCE">
        <w:rPr>
          <w:rFonts w:ascii="Verdana" w:hAnsi="Verdana"/>
          <w:sz w:val="16"/>
          <w:szCs w:val="16"/>
        </w:rPr>
        <w:t xml:space="preserve">nium, compte tenu de l’inertie du profilé et du module d’élasticité du métal retenu doivent être telles que : </w:t>
      </w:r>
    </w:p>
    <w:p w14:paraId="48A60E69" w14:textId="77777777" w:rsidR="0098631E" w:rsidRPr="00360DCE" w:rsidRDefault="0098631E" w:rsidP="00603EFF">
      <w:pPr>
        <w:widowControl/>
        <w:jc w:val="both"/>
        <w:rPr>
          <w:rFonts w:ascii="Verdana" w:hAnsi="Verdana"/>
          <w:sz w:val="16"/>
          <w:szCs w:val="16"/>
        </w:rPr>
      </w:pPr>
    </w:p>
    <w:p w14:paraId="24CD004D" w14:textId="77777777" w:rsidR="000301CF" w:rsidRPr="00360DCE" w:rsidRDefault="000301CF" w:rsidP="000301CF">
      <w:pPr>
        <w:widowControl/>
        <w:jc w:val="both"/>
        <w:rPr>
          <w:rFonts w:ascii="Verdana" w:hAnsi="Verdana"/>
          <w:sz w:val="16"/>
          <w:szCs w:val="16"/>
        </w:rPr>
      </w:pPr>
      <w:r w:rsidRPr="00360DCE">
        <w:rPr>
          <w:rFonts w:ascii="Verdana" w:hAnsi="Verdana"/>
          <w:sz w:val="16"/>
          <w:szCs w:val="16"/>
        </w:rPr>
        <w:t xml:space="preserve">- Sous la charge permanente due au poids propre des éléments de peau que la lisse supporte, la flèche verticale prise entre fixations sur l’ossature primaire soit au plus égale au 1/300ème de la portée entre profilés verticaux, </w:t>
      </w:r>
    </w:p>
    <w:p w14:paraId="67915892" w14:textId="77777777" w:rsidR="000301CF" w:rsidRPr="00360DCE" w:rsidRDefault="000301CF" w:rsidP="000301CF">
      <w:pPr>
        <w:widowControl/>
        <w:jc w:val="both"/>
        <w:rPr>
          <w:rFonts w:ascii="Verdana" w:hAnsi="Verdana"/>
          <w:sz w:val="16"/>
          <w:szCs w:val="16"/>
        </w:rPr>
      </w:pPr>
      <w:r w:rsidRPr="00360DCE">
        <w:rPr>
          <w:rFonts w:ascii="Verdana" w:hAnsi="Verdana"/>
          <w:sz w:val="16"/>
          <w:szCs w:val="16"/>
        </w:rPr>
        <w:t xml:space="preserve">- Sous les charges momentanées dues aux actions du vent, tant en pression qu’en dépression sous vent normal, la flèche horizontale prise entre appuis sur l’ossature primaire soit au plus égale à 1/100ème de la portée entre profilés verticaux, </w:t>
      </w:r>
    </w:p>
    <w:p w14:paraId="4DFFC7A2" w14:textId="77777777" w:rsidR="000301CF" w:rsidRPr="00360DCE" w:rsidRDefault="000301CF" w:rsidP="000301CF">
      <w:pPr>
        <w:widowControl/>
        <w:jc w:val="both"/>
        <w:rPr>
          <w:rFonts w:ascii="Verdana" w:hAnsi="Verdana"/>
          <w:sz w:val="16"/>
          <w:szCs w:val="16"/>
        </w:rPr>
      </w:pPr>
      <w:r w:rsidRPr="00360DCE">
        <w:rPr>
          <w:rFonts w:ascii="Verdana" w:hAnsi="Verdana"/>
          <w:sz w:val="16"/>
          <w:szCs w:val="16"/>
        </w:rPr>
        <w:t xml:space="preserve">- Les épaisseurs minimales seront respectivement 15/10ème mm pour l’acier et 25/10ème mm pour l’aluminium. </w:t>
      </w:r>
    </w:p>
    <w:p w14:paraId="48A60E6D" w14:textId="77777777" w:rsidR="0098631E" w:rsidRDefault="0098631E" w:rsidP="00603EFF">
      <w:pPr>
        <w:jc w:val="both"/>
        <w:rPr>
          <w:rFonts w:ascii="Verdana" w:eastAsia="MS Mincho" w:hAnsi="Verdana" w:cs="Verdana"/>
          <w:color w:val="000000"/>
          <w:sz w:val="14"/>
          <w:szCs w:val="14"/>
          <w:lang w:eastAsia="ja-JP"/>
        </w:rPr>
      </w:pPr>
    </w:p>
    <w:p w14:paraId="48A60E6F" w14:textId="77777777" w:rsidR="0098631E" w:rsidRDefault="0098631E" w:rsidP="00603EFF">
      <w:pPr>
        <w:numPr>
          <w:ilvl w:val="0"/>
          <w:numId w:val="5"/>
        </w:numPr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8B7C21">
        <w:rPr>
          <w:rFonts w:ascii="Verdana" w:hAnsi="Verdana"/>
          <w:b/>
          <w:bCs/>
          <w:sz w:val="18"/>
          <w:szCs w:val="18"/>
          <w:u w:val="single"/>
        </w:rPr>
        <w:t xml:space="preserve">Fixations </w:t>
      </w:r>
    </w:p>
    <w:p w14:paraId="48A60E70" w14:textId="77777777" w:rsidR="0098631E" w:rsidRPr="005D76B0" w:rsidRDefault="0098631E" w:rsidP="00603EFF">
      <w:pPr>
        <w:pStyle w:val="Default"/>
        <w:jc w:val="both"/>
        <w:rPr>
          <w:sz w:val="16"/>
          <w:szCs w:val="16"/>
        </w:rPr>
      </w:pPr>
    </w:p>
    <w:p w14:paraId="737B3B00" w14:textId="77777777" w:rsidR="000301CF" w:rsidRDefault="000301CF" w:rsidP="000301CF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>L</w:t>
      </w:r>
      <w:r w:rsidRPr="00457F48">
        <w:rPr>
          <w:sz w:val="16"/>
          <w:szCs w:val="16"/>
        </w:rPr>
        <w:t>a fixation des plaques en pose bardage sur ossature</w:t>
      </w:r>
      <w:r>
        <w:rPr>
          <w:sz w:val="16"/>
          <w:szCs w:val="16"/>
        </w:rPr>
        <w:t xml:space="preserve"> secondaire</w:t>
      </w:r>
      <w:r w:rsidRPr="00457F48">
        <w:rPr>
          <w:sz w:val="16"/>
          <w:szCs w:val="16"/>
        </w:rPr>
        <w:t xml:space="preserve"> bois, sera réalisée par vis</w:t>
      </w:r>
      <w:r w:rsidRPr="00CB4A06">
        <w:rPr>
          <w:sz w:val="16"/>
          <w:szCs w:val="16"/>
        </w:rPr>
        <w:t xml:space="preserve"> </w:t>
      </w:r>
      <w:r w:rsidRPr="00457F48">
        <w:rPr>
          <w:sz w:val="16"/>
          <w:szCs w:val="16"/>
        </w:rPr>
        <w:t xml:space="preserve">en acier inoxydable ou galvanisé </w:t>
      </w:r>
      <w:r>
        <w:rPr>
          <w:sz w:val="16"/>
          <w:szCs w:val="16"/>
        </w:rPr>
        <w:t>de dimensions minimales ø6</w:t>
      </w:r>
      <w:r w:rsidRPr="00457F48">
        <w:rPr>
          <w:sz w:val="16"/>
          <w:szCs w:val="16"/>
        </w:rPr>
        <w:t xml:space="preserve">x35 mm </w:t>
      </w:r>
      <w:r>
        <w:rPr>
          <w:sz w:val="16"/>
          <w:szCs w:val="16"/>
        </w:rPr>
        <w:t>avec tête</w:t>
      </w:r>
      <w:r w:rsidRPr="00B113B1">
        <w:rPr>
          <w:sz w:val="16"/>
          <w:szCs w:val="16"/>
        </w:rPr>
        <w:t xml:space="preserve"> </w:t>
      </w:r>
      <w:r>
        <w:rPr>
          <w:sz w:val="16"/>
          <w:szCs w:val="16"/>
        </w:rPr>
        <w:t>ø1</w:t>
      </w:r>
      <w:r w:rsidRPr="00457F48">
        <w:rPr>
          <w:sz w:val="16"/>
          <w:szCs w:val="16"/>
        </w:rPr>
        <w:t>5 mm</w:t>
      </w:r>
      <w:r>
        <w:rPr>
          <w:sz w:val="16"/>
          <w:szCs w:val="16"/>
        </w:rPr>
        <w:t xml:space="preserve"> ou</w:t>
      </w:r>
      <w:r w:rsidRPr="004227F4">
        <w:rPr>
          <w:sz w:val="16"/>
          <w:szCs w:val="16"/>
        </w:rPr>
        <w:t xml:space="preserve"> </w:t>
      </w:r>
      <w:r>
        <w:rPr>
          <w:sz w:val="16"/>
          <w:szCs w:val="16"/>
        </w:rPr>
        <w:t>ø8</w:t>
      </w:r>
      <w:r w:rsidRPr="00457F48">
        <w:rPr>
          <w:sz w:val="16"/>
          <w:szCs w:val="16"/>
        </w:rPr>
        <w:t xml:space="preserve"> mm</w:t>
      </w:r>
      <w:r w:rsidRPr="004227F4">
        <w:rPr>
          <w:sz w:val="16"/>
          <w:szCs w:val="16"/>
        </w:rPr>
        <w:t xml:space="preserve"> </w:t>
      </w:r>
      <w:r>
        <w:rPr>
          <w:sz w:val="16"/>
          <w:szCs w:val="16"/>
        </w:rPr>
        <w:t>associée à une rondelle ø1</w:t>
      </w:r>
      <w:r w:rsidRPr="00457F48">
        <w:rPr>
          <w:sz w:val="16"/>
          <w:szCs w:val="16"/>
        </w:rPr>
        <w:t>5 mm</w:t>
      </w:r>
      <w:r>
        <w:rPr>
          <w:sz w:val="16"/>
          <w:szCs w:val="16"/>
        </w:rPr>
        <w:t>, fixées sur l</w:t>
      </w:r>
      <w:r w:rsidRPr="00457F48">
        <w:rPr>
          <w:sz w:val="16"/>
          <w:szCs w:val="16"/>
        </w:rPr>
        <w:t xml:space="preserve">es liteaux horizontaux rapportés sur l’ossature. </w:t>
      </w:r>
    </w:p>
    <w:p w14:paraId="59936490" w14:textId="77777777" w:rsidR="000301CF" w:rsidRPr="00457F48" w:rsidRDefault="000301CF" w:rsidP="000301CF">
      <w:pPr>
        <w:pStyle w:val="Sansinterligne"/>
        <w:jc w:val="both"/>
        <w:rPr>
          <w:sz w:val="16"/>
          <w:szCs w:val="16"/>
        </w:rPr>
      </w:pPr>
    </w:p>
    <w:p w14:paraId="0685C201" w14:textId="77777777" w:rsidR="000301CF" w:rsidRPr="00457F48" w:rsidRDefault="000301CF" w:rsidP="000301CF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>L</w:t>
      </w:r>
      <w:r w:rsidRPr="00457F48">
        <w:rPr>
          <w:sz w:val="16"/>
          <w:szCs w:val="16"/>
        </w:rPr>
        <w:t>a fixation des plaques en pose bardage sur ossature</w:t>
      </w:r>
      <w:r>
        <w:rPr>
          <w:sz w:val="16"/>
          <w:szCs w:val="16"/>
        </w:rPr>
        <w:t xml:space="preserve"> secondaire</w:t>
      </w:r>
      <w:r w:rsidRPr="00457F48">
        <w:rPr>
          <w:sz w:val="16"/>
          <w:szCs w:val="16"/>
        </w:rPr>
        <w:t xml:space="preserve"> métallique, sera réalisée par vis</w:t>
      </w:r>
      <w:r>
        <w:rPr>
          <w:sz w:val="16"/>
          <w:szCs w:val="16"/>
        </w:rPr>
        <w:t xml:space="preserve"> auto-</w:t>
      </w:r>
      <w:r w:rsidRPr="00457F48">
        <w:rPr>
          <w:sz w:val="16"/>
          <w:szCs w:val="16"/>
        </w:rPr>
        <w:t xml:space="preserve">perceuses de diamètre minimal </w:t>
      </w:r>
      <w:r>
        <w:rPr>
          <w:sz w:val="16"/>
          <w:szCs w:val="16"/>
        </w:rPr>
        <w:t>Ø</w:t>
      </w:r>
      <w:r w:rsidRPr="00457F48">
        <w:rPr>
          <w:sz w:val="16"/>
          <w:szCs w:val="16"/>
        </w:rPr>
        <w:t>5,5</w:t>
      </w:r>
      <w:r>
        <w:rPr>
          <w:sz w:val="16"/>
          <w:szCs w:val="16"/>
        </w:rPr>
        <w:t>x25</w:t>
      </w:r>
      <w:r w:rsidRPr="00457F48">
        <w:rPr>
          <w:sz w:val="16"/>
          <w:szCs w:val="16"/>
        </w:rPr>
        <w:t xml:space="preserve"> mm</w:t>
      </w:r>
      <w:r>
        <w:rPr>
          <w:sz w:val="16"/>
          <w:szCs w:val="16"/>
        </w:rPr>
        <w:t xml:space="preserve"> et à tête Ø15 mm</w:t>
      </w:r>
      <w:r w:rsidRPr="00457F48">
        <w:rPr>
          <w:sz w:val="16"/>
          <w:szCs w:val="16"/>
        </w:rPr>
        <w:t xml:space="preserve"> </w:t>
      </w:r>
      <w:r>
        <w:rPr>
          <w:sz w:val="16"/>
          <w:szCs w:val="16"/>
        </w:rPr>
        <w:t>ou</w:t>
      </w:r>
      <w:r w:rsidRPr="004227F4">
        <w:rPr>
          <w:sz w:val="16"/>
          <w:szCs w:val="16"/>
        </w:rPr>
        <w:t xml:space="preserve"> </w:t>
      </w:r>
      <w:r>
        <w:rPr>
          <w:sz w:val="16"/>
          <w:szCs w:val="16"/>
        </w:rPr>
        <w:t>ø8</w:t>
      </w:r>
      <w:r w:rsidRPr="00457F48">
        <w:rPr>
          <w:sz w:val="16"/>
          <w:szCs w:val="16"/>
        </w:rPr>
        <w:t xml:space="preserve"> mm</w:t>
      </w:r>
      <w:r w:rsidRPr="004227F4">
        <w:rPr>
          <w:sz w:val="16"/>
          <w:szCs w:val="16"/>
        </w:rPr>
        <w:t xml:space="preserve"> </w:t>
      </w:r>
      <w:r>
        <w:rPr>
          <w:sz w:val="16"/>
          <w:szCs w:val="16"/>
        </w:rPr>
        <w:t>associée à une rondelle ø1</w:t>
      </w:r>
      <w:r w:rsidRPr="00457F48">
        <w:rPr>
          <w:sz w:val="16"/>
          <w:szCs w:val="16"/>
        </w:rPr>
        <w:t xml:space="preserve">5 </w:t>
      </w:r>
      <w:proofErr w:type="spellStart"/>
      <w:r w:rsidRPr="00457F48">
        <w:rPr>
          <w:sz w:val="16"/>
          <w:szCs w:val="16"/>
        </w:rPr>
        <w:t>mm</w:t>
      </w:r>
      <w:r>
        <w:rPr>
          <w:sz w:val="16"/>
          <w:szCs w:val="16"/>
        </w:rPr>
        <w:t>.</w:t>
      </w:r>
      <w:proofErr w:type="spellEnd"/>
      <w:r>
        <w:rPr>
          <w:sz w:val="16"/>
          <w:szCs w:val="16"/>
        </w:rPr>
        <w:t xml:space="preserve"> Les vis </w:t>
      </w:r>
      <w:r w:rsidRPr="00457F48">
        <w:rPr>
          <w:sz w:val="16"/>
          <w:szCs w:val="16"/>
        </w:rPr>
        <w:t>fixées sur profils métalliques horizontaux rapportés sur l’ossature</w:t>
      </w:r>
      <w:r>
        <w:rPr>
          <w:sz w:val="16"/>
          <w:szCs w:val="16"/>
        </w:rPr>
        <w:t xml:space="preserve"> seront en</w:t>
      </w:r>
      <w:r w:rsidRPr="00457F48">
        <w:rPr>
          <w:sz w:val="16"/>
          <w:szCs w:val="16"/>
        </w:rPr>
        <w:t xml:space="preserve"> acier inoxydable</w:t>
      </w:r>
      <w:r>
        <w:rPr>
          <w:sz w:val="16"/>
          <w:szCs w:val="16"/>
        </w:rPr>
        <w:t xml:space="preserve"> sera dans le cas de profilé aluminium et</w:t>
      </w:r>
      <w:r w:rsidRPr="00457F48">
        <w:rPr>
          <w:sz w:val="16"/>
          <w:szCs w:val="16"/>
        </w:rPr>
        <w:t xml:space="preserve"> en acier galvanisé </w:t>
      </w:r>
      <w:r>
        <w:rPr>
          <w:sz w:val="16"/>
          <w:szCs w:val="16"/>
        </w:rPr>
        <w:t>dans le cas des profilés en acier galvanisé</w:t>
      </w:r>
      <w:r w:rsidRPr="00457F48">
        <w:rPr>
          <w:sz w:val="16"/>
          <w:szCs w:val="16"/>
        </w:rPr>
        <w:t xml:space="preserve">. </w:t>
      </w:r>
    </w:p>
    <w:p w14:paraId="48A60E74" w14:textId="4A04DDF5" w:rsidR="0098631E" w:rsidRDefault="0098631E" w:rsidP="00603EFF">
      <w:pPr>
        <w:pStyle w:val="Default"/>
        <w:jc w:val="both"/>
      </w:pPr>
    </w:p>
    <w:p w14:paraId="37C3D2F3" w14:textId="2B51072A" w:rsidR="000301CF" w:rsidRDefault="00FB1AFE" w:rsidP="00603EFF">
      <w:pPr>
        <w:pStyle w:val="Default"/>
        <w:jc w:val="both"/>
      </w:pPr>
      <w:r>
        <w:tab/>
      </w:r>
      <w:r w:rsidRPr="00FB1AFE">
        <w:rPr>
          <w:rFonts w:ascii="Verdana" w:hAnsi="Verdana" w:cs="Times New Roman"/>
          <w:color w:val="auto"/>
          <w:sz w:val="16"/>
          <w:szCs w:val="16"/>
          <w:u w:val="single"/>
        </w:rPr>
        <w:t>Cas de l’Aquila 60x120</w:t>
      </w:r>
    </w:p>
    <w:p w14:paraId="5E8C9665" w14:textId="030CD68E" w:rsidR="00FB1AFE" w:rsidRDefault="00FB1AFE" w:rsidP="00603EFF">
      <w:pPr>
        <w:pStyle w:val="Default"/>
        <w:jc w:val="both"/>
        <w:rPr>
          <w:rFonts w:ascii="Verdana" w:hAnsi="Verdana" w:cs="Times New Roman"/>
          <w:color w:val="auto"/>
          <w:sz w:val="16"/>
          <w:szCs w:val="16"/>
        </w:rPr>
      </w:pPr>
      <w:r w:rsidRPr="00FB1AFE">
        <w:rPr>
          <w:rFonts w:ascii="Verdana" w:hAnsi="Verdana" w:cs="Times New Roman"/>
          <w:color w:val="auto"/>
          <w:sz w:val="16"/>
          <w:szCs w:val="16"/>
        </w:rPr>
        <w:t xml:space="preserve">Les fixations situées sur le bord latéral seront équipées de pattes de renforts latérales. </w:t>
      </w:r>
    </w:p>
    <w:p w14:paraId="1E8FBB77" w14:textId="77777777" w:rsidR="00FB1AFE" w:rsidRPr="00831E9A" w:rsidRDefault="00FB1AFE" w:rsidP="00603EFF">
      <w:pPr>
        <w:pStyle w:val="Default"/>
        <w:jc w:val="both"/>
      </w:pPr>
    </w:p>
    <w:p w14:paraId="48A60E75" w14:textId="77777777" w:rsidR="0098631E" w:rsidRPr="008B7C21" w:rsidRDefault="0098631E" w:rsidP="00603EFF">
      <w:pPr>
        <w:numPr>
          <w:ilvl w:val="0"/>
          <w:numId w:val="5"/>
        </w:numPr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8B7C21">
        <w:rPr>
          <w:rFonts w:ascii="Verdana" w:hAnsi="Verdana"/>
          <w:b/>
          <w:bCs/>
          <w:sz w:val="18"/>
          <w:szCs w:val="18"/>
          <w:u w:val="single"/>
        </w:rPr>
        <w:t>Points singuliers</w:t>
      </w:r>
    </w:p>
    <w:p w14:paraId="48A60E76" w14:textId="77777777" w:rsidR="0098631E" w:rsidRPr="00945825" w:rsidRDefault="0098631E" w:rsidP="00603EFF">
      <w:pPr>
        <w:pStyle w:val="Default"/>
        <w:jc w:val="both"/>
      </w:pPr>
    </w:p>
    <w:p w14:paraId="1BE7563E" w14:textId="77777777" w:rsidR="00FB1AFE" w:rsidRDefault="00FB1AFE" w:rsidP="00FB1AFE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>Les profi</w:t>
      </w:r>
      <w:r>
        <w:rPr>
          <w:sz w:val="16"/>
          <w:szCs w:val="16"/>
        </w:rPr>
        <w:t>ls de départ, d’arrêt, d’angle</w:t>
      </w:r>
      <w:r w:rsidRPr="001C0113">
        <w:rPr>
          <w:sz w:val="16"/>
          <w:szCs w:val="16"/>
        </w:rPr>
        <w:t xml:space="preserve"> seront réalisés en pièc</w:t>
      </w:r>
      <w:r>
        <w:rPr>
          <w:sz w:val="16"/>
          <w:szCs w:val="16"/>
        </w:rPr>
        <w:t xml:space="preserve">es d’aluminium d’épaisseur </w:t>
      </w:r>
      <w:r w:rsidRPr="001C0113">
        <w:rPr>
          <w:sz w:val="16"/>
          <w:szCs w:val="16"/>
        </w:rPr>
        <w:t>15/10ème</w:t>
      </w:r>
      <w:r>
        <w:rPr>
          <w:sz w:val="16"/>
          <w:szCs w:val="16"/>
        </w:rPr>
        <w:t xml:space="preserve"> plié et laqué.</w:t>
      </w:r>
    </w:p>
    <w:p w14:paraId="14E45361" w14:textId="77777777" w:rsidR="00FB1AFE" w:rsidRDefault="00FB1AFE" w:rsidP="00FB1AFE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Les linteaux, tableaux et appui de baies pourront être traités soit en </w:t>
      </w:r>
      <w:r w:rsidRPr="001C0113">
        <w:rPr>
          <w:sz w:val="16"/>
          <w:szCs w:val="16"/>
        </w:rPr>
        <w:t>pièc</w:t>
      </w:r>
      <w:r>
        <w:rPr>
          <w:sz w:val="16"/>
          <w:szCs w:val="16"/>
        </w:rPr>
        <w:t xml:space="preserve">es d’aluminium d’épaisseur </w:t>
      </w:r>
      <w:r w:rsidRPr="001C0113">
        <w:rPr>
          <w:sz w:val="16"/>
          <w:szCs w:val="16"/>
        </w:rPr>
        <w:t>1</w:t>
      </w:r>
      <w:r>
        <w:rPr>
          <w:sz w:val="16"/>
          <w:szCs w:val="16"/>
        </w:rPr>
        <w:t>0</w:t>
      </w:r>
      <w:r w:rsidRPr="001C0113">
        <w:rPr>
          <w:sz w:val="16"/>
          <w:szCs w:val="16"/>
        </w:rPr>
        <w:t>/10</w:t>
      </w:r>
      <w:r w:rsidRPr="003C37DB">
        <w:rPr>
          <w:sz w:val="16"/>
          <w:szCs w:val="16"/>
          <w:vertAlign w:val="superscript"/>
        </w:rPr>
        <w:t>ème</w:t>
      </w:r>
      <w:r>
        <w:rPr>
          <w:sz w:val="16"/>
          <w:szCs w:val="16"/>
        </w:rPr>
        <w:t xml:space="preserve"> ou </w:t>
      </w:r>
      <w:r w:rsidRPr="001C0113">
        <w:rPr>
          <w:sz w:val="16"/>
          <w:szCs w:val="16"/>
        </w:rPr>
        <w:t>15/10ème</w:t>
      </w:r>
      <w:r>
        <w:rPr>
          <w:sz w:val="16"/>
          <w:szCs w:val="16"/>
        </w:rPr>
        <w:t xml:space="preserve"> plié et laqué, soit avec le procédé HOB (Habillage Ouvertures de Bâtiments).</w:t>
      </w:r>
    </w:p>
    <w:p w14:paraId="165F7553" w14:textId="77777777" w:rsidR="00FB1AFE" w:rsidRDefault="00FB1AFE" w:rsidP="00FB1AFE">
      <w:pPr>
        <w:pStyle w:val="Sansinterligne"/>
        <w:jc w:val="both"/>
        <w:rPr>
          <w:sz w:val="16"/>
          <w:szCs w:val="16"/>
        </w:rPr>
      </w:pPr>
    </w:p>
    <w:p w14:paraId="6724B6C2" w14:textId="77777777" w:rsidR="00FB1AFE" w:rsidRPr="00FA122B" w:rsidRDefault="00FB1AFE" w:rsidP="00FB1AFE">
      <w:pPr>
        <w:pStyle w:val="Sansinterligne"/>
        <w:jc w:val="both"/>
        <w:rPr>
          <w:sz w:val="16"/>
          <w:szCs w:val="16"/>
          <w:u w:val="single"/>
        </w:rPr>
      </w:pPr>
      <w:r w:rsidRPr="00FA122B">
        <w:rPr>
          <w:sz w:val="16"/>
          <w:szCs w:val="16"/>
        </w:rPr>
        <w:tab/>
      </w:r>
      <w:r w:rsidRPr="00FA122B">
        <w:rPr>
          <w:sz w:val="16"/>
          <w:szCs w:val="16"/>
          <w:u w:val="single"/>
        </w:rPr>
        <w:t>Cas des bâtiments de 3</w:t>
      </w:r>
      <w:r w:rsidRPr="00FA122B">
        <w:rPr>
          <w:sz w:val="16"/>
          <w:szCs w:val="16"/>
          <w:u w:val="single"/>
          <w:vertAlign w:val="superscript"/>
        </w:rPr>
        <w:t>ème</w:t>
      </w:r>
      <w:r w:rsidRPr="00FA122B">
        <w:rPr>
          <w:sz w:val="16"/>
          <w:szCs w:val="16"/>
          <w:u w:val="single"/>
        </w:rPr>
        <w:t xml:space="preserve"> famille et établissement recevant du public du 1</w:t>
      </w:r>
      <w:r w:rsidRPr="00FA122B">
        <w:rPr>
          <w:sz w:val="16"/>
          <w:szCs w:val="16"/>
          <w:u w:val="single"/>
          <w:vertAlign w:val="superscript"/>
        </w:rPr>
        <w:t>er</w:t>
      </w:r>
      <w:r w:rsidRPr="00FA122B">
        <w:rPr>
          <w:sz w:val="16"/>
          <w:szCs w:val="16"/>
          <w:u w:val="single"/>
        </w:rPr>
        <w:t xml:space="preserve"> groupe à partir de R+2</w:t>
      </w:r>
    </w:p>
    <w:p w14:paraId="068426DE" w14:textId="77777777" w:rsidR="00FB1AFE" w:rsidRDefault="00FB1AFE" w:rsidP="00FB1AFE">
      <w:pPr>
        <w:pStyle w:val="Sansinterligne"/>
        <w:jc w:val="both"/>
        <w:rPr>
          <w:sz w:val="16"/>
          <w:szCs w:val="16"/>
        </w:rPr>
      </w:pPr>
    </w:p>
    <w:p w14:paraId="16D3C5D4" w14:textId="77777777" w:rsidR="00FB1AFE" w:rsidRDefault="00FB1AFE" w:rsidP="00FB1AFE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>Les linteaux, tableaux et appui de baies pourront être traités en acier ou acier inoxydable d’épaisseur 10/10</w:t>
      </w:r>
      <w:r w:rsidRPr="001C092B">
        <w:rPr>
          <w:sz w:val="16"/>
          <w:szCs w:val="16"/>
          <w:vertAlign w:val="superscript"/>
        </w:rPr>
        <w:t>ème</w:t>
      </w:r>
      <w:r>
        <w:rPr>
          <w:sz w:val="16"/>
          <w:szCs w:val="16"/>
        </w:rPr>
        <w:t>.</w:t>
      </w:r>
    </w:p>
    <w:p w14:paraId="55590BD0" w14:textId="77777777" w:rsidR="00FB1AFE" w:rsidRDefault="00FB1AFE" w:rsidP="00FB1AFE">
      <w:pPr>
        <w:pStyle w:val="Sansinterligne"/>
        <w:jc w:val="both"/>
        <w:rPr>
          <w:sz w:val="16"/>
          <w:szCs w:val="16"/>
        </w:rPr>
      </w:pPr>
      <w:r>
        <w:rPr>
          <w:sz w:val="16"/>
          <w:szCs w:val="16"/>
        </w:rPr>
        <w:t>Les bavettes de recoupement seront réalisées en acier ou acier inoxydable 15/10</w:t>
      </w:r>
      <w:r w:rsidRPr="00FA122B">
        <w:rPr>
          <w:sz w:val="16"/>
          <w:szCs w:val="16"/>
          <w:vertAlign w:val="superscript"/>
        </w:rPr>
        <w:t>ème</w:t>
      </w:r>
      <w:r>
        <w:rPr>
          <w:sz w:val="16"/>
          <w:szCs w:val="16"/>
        </w:rPr>
        <w:t>.</w:t>
      </w:r>
    </w:p>
    <w:p w14:paraId="48A60E7A" w14:textId="77777777" w:rsidR="0098631E" w:rsidRDefault="0098631E" w:rsidP="00603EFF">
      <w:pPr>
        <w:pStyle w:val="Sansinterligne"/>
        <w:jc w:val="both"/>
        <w:rPr>
          <w:sz w:val="16"/>
          <w:szCs w:val="16"/>
        </w:rPr>
      </w:pPr>
    </w:p>
    <w:p w14:paraId="48A60E7B" w14:textId="77777777" w:rsidR="0098631E" w:rsidRPr="00593715" w:rsidRDefault="0098631E" w:rsidP="00603EFF">
      <w:pPr>
        <w:numPr>
          <w:ilvl w:val="0"/>
          <w:numId w:val="5"/>
        </w:numPr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93715">
        <w:rPr>
          <w:rFonts w:ascii="Verdana" w:hAnsi="Verdana"/>
          <w:b/>
          <w:bCs/>
          <w:sz w:val="18"/>
          <w:szCs w:val="18"/>
          <w:u w:val="single"/>
        </w:rPr>
        <w:t>Autres</w:t>
      </w:r>
    </w:p>
    <w:p w14:paraId="48A60E7C" w14:textId="77777777" w:rsidR="0098631E" w:rsidRDefault="0098631E" w:rsidP="00603EFF">
      <w:pPr>
        <w:pStyle w:val="Sansinterligne"/>
        <w:jc w:val="both"/>
        <w:rPr>
          <w:sz w:val="16"/>
          <w:szCs w:val="16"/>
        </w:rPr>
      </w:pPr>
    </w:p>
    <w:p w14:paraId="48A60E7D" w14:textId="04521DFE" w:rsidR="0098631E" w:rsidRDefault="0098631E" w:rsidP="00603EFF">
      <w:pPr>
        <w:pStyle w:val="Sansinterligne"/>
        <w:jc w:val="both"/>
        <w:rPr>
          <w:sz w:val="16"/>
          <w:szCs w:val="16"/>
        </w:rPr>
      </w:pPr>
      <w:r w:rsidRPr="001C0113">
        <w:rPr>
          <w:sz w:val="16"/>
          <w:szCs w:val="16"/>
        </w:rPr>
        <w:t>La formation du  personnel de l’entreprise de pose pourra être assurée dans la structure CAREA SCHOOL à COMBREE (49), organisme de formation agréé dans le cadre des budgets formation</w:t>
      </w:r>
      <w:r w:rsidRPr="00341B14">
        <w:rPr>
          <w:sz w:val="16"/>
          <w:szCs w:val="16"/>
        </w:rPr>
        <w:t xml:space="preserve"> </w:t>
      </w:r>
      <w:r>
        <w:rPr>
          <w:sz w:val="16"/>
          <w:szCs w:val="16"/>
        </w:rPr>
        <w:t>ou en intra-entreprise</w:t>
      </w:r>
      <w:r w:rsidRPr="001C0113">
        <w:rPr>
          <w:sz w:val="16"/>
          <w:szCs w:val="16"/>
        </w:rPr>
        <w:t xml:space="preserve">. </w:t>
      </w:r>
    </w:p>
    <w:p w14:paraId="5D5549C0" w14:textId="316C9159" w:rsidR="00D4080A" w:rsidRDefault="00FB1AFE" w:rsidP="00FB1AFE">
      <w:pPr>
        <w:pStyle w:val="Sansinterligne"/>
        <w:tabs>
          <w:tab w:val="left" w:pos="7725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5FB703FF" w14:textId="0B21333E" w:rsidR="00D4080A" w:rsidRDefault="00D4080A" w:rsidP="00603EFF">
      <w:pPr>
        <w:pStyle w:val="Sansinterligne"/>
        <w:jc w:val="both"/>
        <w:rPr>
          <w:sz w:val="16"/>
          <w:szCs w:val="16"/>
        </w:rPr>
      </w:pPr>
    </w:p>
    <w:p w14:paraId="73A5B07B" w14:textId="5A232912" w:rsidR="00D4080A" w:rsidRPr="00D4080A" w:rsidRDefault="00D4080A" w:rsidP="00D4080A">
      <w:pPr>
        <w:pStyle w:val="Sansinterligne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8</w:t>
      </w:r>
      <w:r w:rsidRPr="00D4080A">
        <w:rPr>
          <w:b/>
          <w:bCs/>
          <w:sz w:val="16"/>
          <w:szCs w:val="16"/>
        </w:rPr>
        <w:t>.</w:t>
      </w:r>
      <w:r w:rsidRPr="00D4080A">
        <w:rPr>
          <w:b/>
          <w:bCs/>
          <w:sz w:val="16"/>
          <w:szCs w:val="16"/>
        </w:rPr>
        <w:tab/>
      </w:r>
      <w:r w:rsidRPr="00D4080A">
        <w:rPr>
          <w:b/>
          <w:bCs/>
          <w:sz w:val="16"/>
          <w:szCs w:val="16"/>
          <w:u w:val="single"/>
        </w:rPr>
        <w:t xml:space="preserve">FDES </w:t>
      </w:r>
    </w:p>
    <w:p w14:paraId="367044F6" w14:textId="77777777" w:rsidR="00D4080A" w:rsidRPr="00D4080A" w:rsidRDefault="00D4080A" w:rsidP="00D4080A">
      <w:pPr>
        <w:pStyle w:val="Sansinterligne"/>
        <w:jc w:val="both"/>
        <w:rPr>
          <w:sz w:val="16"/>
          <w:szCs w:val="16"/>
        </w:rPr>
      </w:pPr>
    </w:p>
    <w:p w14:paraId="48A60E7E" w14:textId="6098E115" w:rsidR="0098631E" w:rsidRPr="00457F48" w:rsidRDefault="00D4080A" w:rsidP="00FB1AFE">
      <w:pPr>
        <w:pStyle w:val="Sansinterligne"/>
        <w:jc w:val="both"/>
        <w:rPr>
          <w:sz w:val="16"/>
          <w:szCs w:val="16"/>
        </w:rPr>
      </w:pPr>
      <w:r w:rsidRPr="00D4080A">
        <w:rPr>
          <w:sz w:val="16"/>
          <w:szCs w:val="16"/>
        </w:rPr>
        <w:t xml:space="preserve">Le parement CAREA emboîtement Aquila bénéficie d’une FDES (Fiche de Déclaration Environnementale et Sanitaire) publiée sur la base </w:t>
      </w:r>
      <w:proofErr w:type="spellStart"/>
      <w:r w:rsidRPr="00D4080A">
        <w:rPr>
          <w:sz w:val="16"/>
          <w:szCs w:val="16"/>
        </w:rPr>
        <w:t>Inies</w:t>
      </w:r>
      <w:proofErr w:type="spellEnd"/>
      <w:r w:rsidRPr="00D4080A">
        <w:rPr>
          <w:sz w:val="16"/>
          <w:szCs w:val="16"/>
        </w:rPr>
        <w:t xml:space="preserve"> sous le numéro 1-9 : 2020</w:t>
      </w:r>
    </w:p>
    <w:sectPr w:rsidR="0098631E" w:rsidRPr="00457F48" w:rsidSect="004D4999">
      <w:footerReference w:type="default" r:id="rId12"/>
      <w:pgSz w:w="11906" w:h="16838" w:code="9"/>
      <w:pgMar w:top="720" w:right="720" w:bottom="720" w:left="720" w:header="720" w:footer="32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30C08" w14:textId="77777777" w:rsidR="00D53966" w:rsidRDefault="00D53966" w:rsidP="009B306C">
      <w:r>
        <w:separator/>
      </w:r>
    </w:p>
  </w:endnote>
  <w:endnote w:type="continuationSeparator" w:id="0">
    <w:p w14:paraId="7223021C" w14:textId="77777777" w:rsidR="00D53966" w:rsidRDefault="00D53966" w:rsidP="009B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60E85" w14:textId="55F8E3F1" w:rsidR="0098631E" w:rsidRPr="009B306C" w:rsidRDefault="0098631E" w:rsidP="009B306C">
    <w:pPr>
      <w:pStyle w:val="Pieddepage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Descriptif A</w:t>
    </w:r>
    <w:r w:rsidR="00FB1AFE">
      <w:rPr>
        <w:rFonts w:ascii="Verdana" w:hAnsi="Verdana"/>
        <w:sz w:val="16"/>
      </w:rPr>
      <w:t>quila</w:t>
    </w:r>
    <w:r>
      <w:rPr>
        <w:rFonts w:ascii="Verdana" w:hAnsi="Verdana"/>
        <w:sz w:val="16"/>
      </w:rPr>
      <w:t xml:space="preserve"> pose BA</w:t>
    </w:r>
    <w:r w:rsidR="00FB1AFE">
      <w:rPr>
        <w:rFonts w:ascii="Verdana" w:hAnsi="Verdana"/>
        <w:sz w:val="16"/>
      </w:rPr>
      <w:t>O</w:t>
    </w:r>
    <w:r w:rsidR="004D4999">
      <w:rPr>
        <w:rFonts w:ascii="Verdana" w:hAnsi="Verdana"/>
        <w:sz w:val="16"/>
      </w:rPr>
      <w:t xml:space="preserve"> – Édition </w:t>
    </w:r>
    <w:r w:rsidR="00FB1AFE">
      <w:rPr>
        <w:rFonts w:ascii="Verdana" w:hAnsi="Verdana"/>
        <w:sz w:val="16"/>
      </w:rPr>
      <w:t>Avril 2020</w:t>
    </w:r>
  </w:p>
  <w:p w14:paraId="48A60E86" w14:textId="77777777" w:rsidR="0098631E" w:rsidRDefault="009863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36101" w14:textId="77777777" w:rsidR="00D53966" w:rsidRDefault="00D53966" w:rsidP="009B306C">
      <w:r>
        <w:separator/>
      </w:r>
    </w:p>
  </w:footnote>
  <w:footnote w:type="continuationSeparator" w:id="0">
    <w:p w14:paraId="2DF0F22A" w14:textId="77777777" w:rsidR="00D53966" w:rsidRDefault="00D53966" w:rsidP="009B3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9C6066E"/>
    <w:multiLevelType w:val="hybridMultilevel"/>
    <w:tmpl w:val="590D25C3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F5AFC880"/>
    <w:multiLevelType w:val="hybridMultilevel"/>
    <w:tmpl w:val="A5F5905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D63870"/>
    <w:multiLevelType w:val="hybridMultilevel"/>
    <w:tmpl w:val="D686576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0058C6"/>
    <w:multiLevelType w:val="hybridMultilevel"/>
    <w:tmpl w:val="CFD82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84E16"/>
    <w:multiLevelType w:val="multilevel"/>
    <w:tmpl w:val="5F746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5" w15:restartNumberingAfterBreak="0">
    <w:nsid w:val="34B77BBC"/>
    <w:multiLevelType w:val="hybridMultilevel"/>
    <w:tmpl w:val="405EE334"/>
    <w:lvl w:ilvl="0" w:tplc="040C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 w15:restartNumberingAfterBreak="0">
    <w:nsid w:val="5B40AD82"/>
    <w:multiLevelType w:val="hybridMultilevel"/>
    <w:tmpl w:val="40AD8E6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5FD82580"/>
    <w:multiLevelType w:val="hybridMultilevel"/>
    <w:tmpl w:val="8CF87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80BDC"/>
    <w:multiLevelType w:val="multilevel"/>
    <w:tmpl w:val="B97A09A6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numFmt w:val="decimal"/>
      <w:lvlText w:val=""/>
      <w:lvlJc w:val="left"/>
      <w:pPr>
        <w:ind w:left="426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426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426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426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426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426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426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426" w:firstLine="0"/>
      </w:pPr>
      <w:rPr>
        <w:rFonts w:cs="Times New Roman" w:hint="default"/>
      </w:rPr>
    </w:lvl>
  </w:abstractNum>
  <w:abstractNum w:abstractNumId="9" w15:restartNumberingAfterBreak="0">
    <w:nsid w:val="7A79CB03"/>
    <w:multiLevelType w:val="hybridMultilevel"/>
    <w:tmpl w:val="19B03BC7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8C2"/>
    <w:rsid w:val="00001A59"/>
    <w:rsid w:val="000301CF"/>
    <w:rsid w:val="000618AD"/>
    <w:rsid w:val="00080A5A"/>
    <w:rsid w:val="00094B7B"/>
    <w:rsid w:val="00122362"/>
    <w:rsid w:val="001245ED"/>
    <w:rsid w:val="00142753"/>
    <w:rsid w:val="001A747D"/>
    <w:rsid w:val="001C0113"/>
    <w:rsid w:val="001C4ACF"/>
    <w:rsid w:val="001D47D8"/>
    <w:rsid w:val="001E3AB8"/>
    <w:rsid w:val="001E6F25"/>
    <w:rsid w:val="00211FAE"/>
    <w:rsid w:val="002130BF"/>
    <w:rsid w:val="0024259C"/>
    <w:rsid w:val="00284A51"/>
    <w:rsid w:val="0028546A"/>
    <w:rsid w:val="002A57FE"/>
    <w:rsid w:val="00304420"/>
    <w:rsid w:val="003119DB"/>
    <w:rsid w:val="00331FF6"/>
    <w:rsid w:val="00336624"/>
    <w:rsid w:val="00341B14"/>
    <w:rsid w:val="00360DCE"/>
    <w:rsid w:val="003621E1"/>
    <w:rsid w:val="00367BE6"/>
    <w:rsid w:val="00367E10"/>
    <w:rsid w:val="00380673"/>
    <w:rsid w:val="003C37DB"/>
    <w:rsid w:val="003E0120"/>
    <w:rsid w:val="00421177"/>
    <w:rsid w:val="00421F5F"/>
    <w:rsid w:val="004227F4"/>
    <w:rsid w:val="004320E9"/>
    <w:rsid w:val="00457F48"/>
    <w:rsid w:val="00474414"/>
    <w:rsid w:val="00481B81"/>
    <w:rsid w:val="00496287"/>
    <w:rsid w:val="004A406E"/>
    <w:rsid w:val="004B0FEF"/>
    <w:rsid w:val="004C1C6E"/>
    <w:rsid w:val="004C3C6C"/>
    <w:rsid w:val="004C5860"/>
    <w:rsid w:val="004D4999"/>
    <w:rsid w:val="00503BF4"/>
    <w:rsid w:val="0051060E"/>
    <w:rsid w:val="005239AD"/>
    <w:rsid w:val="005408C2"/>
    <w:rsid w:val="005475C3"/>
    <w:rsid w:val="00553F54"/>
    <w:rsid w:val="00562E89"/>
    <w:rsid w:val="00593715"/>
    <w:rsid w:val="00595331"/>
    <w:rsid w:val="005A2553"/>
    <w:rsid w:val="005C1089"/>
    <w:rsid w:val="005D4AC2"/>
    <w:rsid w:val="005D76B0"/>
    <w:rsid w:val="005E3930"/>
    <w:rsid w:val="00603EFF"/>
    <w:rsid w:val="00617FE0"/>
    <w:rsid w:val="00622F9F"/>
    <w:rsid w:val="00636F7F"/>
    <w:rsid w:val="00685DAC"/>
    <w:rsid w:val="006A56EF"/>
    <w:rsid w:val="006A75FD"/>
    <w:rsid w:val="006C1A2E"/>
    <w:rsid w:val="00712229"/>
    <w:rsid w:val="00792F5D"/>
    <w:rsid w:val="007A1105"/>
    <w:rsid w:val="007A1249"/>
    <w:rsid w:val="007F035F"/>
    <w:rsid w:val="007F6639"/>
    <w:rsid w:val="00804B04"/>
    <w:rsid w:val="00810C43"/>
    <w:rsid w:val="008138B0"/>
    <w:rsid w:val="00831E9A"/>
    <w:rsid w:val="00841407"/>
    <w:rsid w:val="00895F11"/>
    <w:rsid w:val="008B7C21"/>
    <w:rsid w:val="008C005A"/>
    <w:rsid w:val="008E545A"/>
    <w:rsid w:val="009025F4"/>
    <w:rsid w:val="00945825"/>
    <w:rsid w:val="009553B6"/>
    <w:rsid w:val="00973773"/>
    <w:rsid w:val="00982154"/>
    <w:rsid w:val="0098631E"/>
    <w:rsid w:val="00991F4A"/>
    <w:rsid w:val="009A12EA"/>
    <w:rsid w:val="009B306C"/>
    <w:rsid w:val="009E73A2"/>
    <w:rsid w:val="009F424A"/>
    <w:rsid w:val="009F6E40"/>
    <w:rsid w:val="00A22CF2"/>
    <w:rsid w:val="00A25BB3"/>
    <w:rsid w:val="00A41F8D"/>
    <w:rsid w:val="00A43821"/>
    <w:rsid w:val="00A46B7A"/>
    <w:rsid w:val="00AC389B"/>
    <w:rsid w:val="00AD05C7"/>
    <w:rsid w:val="00AE161D"/>
    <w:rsid w:val="00B113B1"/>
    <w:rsid w:val="00B8416F"/>
    <w:rsid w:val="00BF128A"/>
    <w:rsid w:val="00C17D72"/>
    <w:rsid w:val="00C357B9"/>
    <w:rsid w:val="00C46317"/>
    <w:rsid w:val="00CB4A06"/>
    <w:rsid w:val="00CC769F"/>
    <w:rsid w:val="00CE5C8B"/>
    <w:rsid w:val="00D06585"/>
    <w:rsid w:val="00D4080A"/>
    <w:rsid w:val="00D464BB"/>
    <w:rsid w:val="00D53966"/>
    <w:rsid w:val="00D76AD7"/>
    <w:rsid w:val="00DA2DBE"/>
    <w:rsid w:val="00DF02F2"/>
    <w:rsid w:val="00E04437"/>
    <w:rsid w:val="00E652C0"/>
    <w:rsid w:val="00E70837"/>
    <w:rsid w:val="00E90DE3"/>
    <w:rsid w:val="00EA658A"/>
    <w:rsid w:val="00EC7596"/>
    <w:rsid w:val="00EE6B93"/>
    <w:rsid w:val="00EE7E58"/>
    <w:rsid w:val="00F44748"/>
    <w:rsid w:val="00F64BAF"/>
    <w:rsid w:val="00F862E3"/>
    <w:rsid w:val="00FB1AFE"/>
    <w:rsid w:val="00FC330C"/>
    <w:rsid w:val="00FD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A60E2C"/>
  <w15:docId w15:val="{05FD4082-6D24-435F-A251-0FA021A0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414"/>
    <w:pPr>
      <w:widowControl w:val="0"/>
      <w:autoSpaceDE w:val="0"/>
      <w:autoSpaceDN w:val="0"/>
      <w:adjustRightInd w:val="0"/>
    </w:pPr>
    <w:rPr>
      <w:rFonts w:ascii="Century Gothic" w:hAnsi="Century Gothic" w:cs="Times New Roman"/>
      <w:sz w:val="24"/>
      <w:szCs w:val="24"/>
    </w:rPr>
  </w:style>
  <w:style w:type="paragraph" w:styleId="Titre1">
    <w:name w:val="heading 1"/>
    <w:basedOn w:val="Default"/>
    <w:next w:val="Default"/>
    <w:link w:val="Titre1Car"/>
    <w:uiPriority w:val="99"/>
    <w:qFormat/>
    <w:rsid w:val="00496287"/>
    <w:pPr>
      <w:outlineLvl w:val="0"/>
    </w:pPr>
    <w:rPr>
      <w:rFonts w:cs="Times New Roman"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496287"/>
    <w:rPr>
      <w:rFonts w:ascii="Cambria" w:hAnsi="Cambria" w:cs="Times New Roman"/>
      <w:b/>
      <w:kern w:val="32"/>
      <w:sz w:val="32"/>
    </w:rPr>
  </w:style>
  <w:style w:type="paragraph" w:customStyle="1" w:styleId="Default">
    <w:name w:val="Default"/>
    <w:uiPriority w:val="99"/>
    <w:rsid w:val="00496287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Pieddepage">
    <w:name w:val="footer"/>
    <w:basedOn w:val="Default"/>
    <w:next w:val="Default"/>
    <w:link w:val="PieddepageCar"/>
    <w:uiPriority w:val="99"/>
    <w:rsid w:val="00496287"/>
    <w:rPr>
      <w:rFonts w:cs="Times New Roman"/>
      <w:color w:val="auto"/>
    </w:rPr>
  </w:style>
  <w:style w:type="character" w:customStyle="1" w:styleId="PieddepageCar">
    <w:name w:val="Pied de page Car"/>
    <w:link w:val="Pieddepage"/>
    <w:uiPriority w:val="99"/>
    <w:locked/>
    <w:rsid w:val="00496287"/>
    <w:rPr>
      <w:rFonts w:ascii="Century Gothic" w:hAnsi="Century Gothic" w:cs="Times New Roman"/>
      <w:sz w:val="24"/>
    </w:rPr>
  </w:style>
  <w:style w:type="paragraph" w:styleId="Corpsdetexte">
    <w:name w:val="Body Text"/>
    <w:basedOn w:val="Default"/>
    <w:next w:val="Default"/>
    <w:link w:val="CorpsdetexteCar"/>
    <w:uiPriority w:val="99"/>
    <w:rsid w:val="00496287"/>
    <w:rPr>
      <w:rFonts w:cs="Times New Roman"/>
      <w:color w:val="auto"/>
    </w:rPr>
  </w:style>
  <w:style w:type="character" w:customStyle="1" w:styleId="CorpsdetexteCar">
    <w:name w:val="Corps de texte Car"/>
    <w:link w:val="Corpsdetexte"/>
    <w:uiPriority w:val="99"/>
    <w:semiHidden/>
    <w:locked/>
    <w:rsid w:val="00496287"/>
    <w:rPr>
      <w:rFonts w:ascii="Century Gothic" w:hAnsi="Century Gothic" w:cs="Times New Roman"/>
      <w:sz w:val="24"/>
    </w:rPr>
  </w:style>
  <w:style w:type="paragraph" w:styleId="Corpsdetexte3">
    <w:name w:val="Body Text 3"/>
    <w:basedOn w:val="Default"/>
    <w:next w:val="Default"/>
    <w:link w:val="Corpsdetexte3Car"/>
    <w:uiPriority w:val="99"/>
    <w:rsid w:val="00496287"/>
    <w:rPr>
      <w:rFonts w:cs="Times New Roman"/>
      <w:color w:val="auto"/>
    </w:rPr>
  </w:style>
  <w:style w:type="character" w:customStyle="1" w:styleId="Corpsdetexte3Car">
    <w:name w:val="Corps de texte 3 Car"/>
    <w:link w:val="Corpsdetexte3"/>
    <w:uiPriority w:val="99"/>
    <w:semiHidden/>
    <w:locked/>
    <w:rsid w:val="00496287"/>
    <w:rPr>
      <w:rFonts w:ascii="Century Gothic" w:hAnsi="Century Gothic" w:cs="Times New Roman"/>
      <w:sz w:val="16"/>
    </w:rPr>
  </w:style>
  <w:style w:type="paragraph" w:styleId="En-tte">
    <w:name w:val="header"/>
    <w:basedOn w:val="Normal"/>
    <w:link w:val="En-tteCar"/>
    <w:uiPriority w:val="99"/>
    <w:rsid w:val="009B306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9B306C"/>
    <w:rPr>
      <w:rFonts w:ascii="Century Gothic" w:hAnsi="Century Gothic" w:cs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rsid w:val="009B306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9B306C"/>
    <w:rPr>
      <w:rFonts w:ascii="Tahoma" w:hAnsi="Tahoma" w:cs="Times New Roman"/>
      <w:sz w:val="16"/>
    </w:rPr>
  </w:style>
  <w:style w:type="paragraph" w:styleId="Sansinterligne">
    <w:name w:val="No Spacing"/>
    <w:uiPriority w:val="99"/>
    <w:qFormat/>
    <w:rsid w:val="001245ED"/>
    <w:pPr>
      <w:widowControl w:val="0"/>
      <w:autoSpaceDE w:val="0"/>
      <w:autoSpaceDN w:val="0"/>
      <w:adjustRightInd w:val="0"/>
    </w:pPr>
    <w:rPr>
      <w:rFonts w:ascii="Verdana" w:hAnsi="Verdana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30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5B3E340CB4A248B92D387686111F68" ma:contentTypeVersion="14" ma:contentTypeDescription="Crée un document." ma:contentTypeScope="" ma:versionID="958d962e37c1370932c89e1831609ff1">
  <xsd:schema xmlns:xsd="http://www.w3.org/2001/XMLSchema" xmlns:xs="http://www.w3.org/2001/XMLSchema" xmlns:p="http://schemas.microsoft.com/office/2006/metadata/properties" xmlns:ns2="65ff05a5-c111-4937-8265-f5b45e7e1be3" xmlns:ns3="633ac79a-fc97-40f8-9560-face611c344f" targetNamespace="http://schemas.microsoft.com/office/2006/metadata/properties" ma:root="true" ma:fieldsID="bb10688db1c0e0af291e11dffef6d80f" ns2:_="" ns3:_="">
    <xsd:import namespace="65ff05a5-c111-4937-8265-f5b45e7e1be3"/>
    <xsd:import namespace="633ac79a-fc97-40f8-9560-face611c34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05a5-c111-4937-8265-f5b45e7e1b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Partage du hachage d’indicateur" ma:internalName="SharingHintHash" ma:readOnly="true">
      <xsd:simpleType>
        <xsd:restriction base="dms:Text"/>
      </xsd:simpleType>
    </xsd:element>
    <xsd:element name="SharedWithDetails" ma:index="10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ac79a-fc97-40f8-9560-face611c34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E794A8-6754-45B6-B2DC-8E5757A418A8}"/>
</file>

<file path=customXml/itemProps2.xml><?xml version="1.0" encoding="utf-8"?>
<ds:datastoreItem xmlns:ds="http://schemas.openxmlformats.org/officeDocument/2006/customXml" ds:itemID="{D0CB470C-8EFA-42A6-AE1A-16461D0699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719FC0-7A60-44FD-875F-5F9408CD2F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1058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ATENA</vt:lpstr>
    </vt:vector>
  </TitlesOfParts>
  <Company>CAREA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ATENA</dc:title>
  <dc:subject/>
  <dc:creator>IM</dc:creator>
  <cp:keywords/>
  <dc:description/>
  <cp:lastModifiedBy>Benjamin RIGAUD</cp:lastModifiedBy>
  <cp:revision>19</cp:revision>
  <cp:lastPrinted>2016-04-13T09:19:00Z</cp:lastPrinted>
  <dcterms:created xsi:type="dcterms:W3CDTF">2020-03-25T15:47:00Z</dcterms:created>
  <dcterms:modified xsi:type="dcterms:W3CDTF">2020-04-02T14:30:00Z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0x0101005D5B3E340CB4A248B92D387686111F68</vt:lpwstr>
  </property>
</Properties>
</file>